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3" w:rsidRPr="00073189" w:rsidRDefault="00550563" w:rsidP="00E15D7D">
      <w:pPr>
        <w:pStyle w:val="Hlavika"/>
        <w:jc w:val="right"/>
        <w:rPr>
          <w:sz w:val="24"/>
          <w:szCs w:val="24"/>
        </w:rPr>
      </w:pPr>
      <w:bookmarkStart w:id="0" w:name="_GoBack"/>
      <w:bookmarkEnd w:id="0"/>
    </w:p>
    <w:p w:rsidR="00E15D7D" w:rsidRPr="00073189" w:rsidRDefault="00E15D7D" w:rsidP="00E15D7D">
      <w:pPr>
        <w:pStyle w:val="Hlavika"/>
        <w:jc w:val="right"/>
        <w:rPr>
          <w:sz w:val="24"/>
          <w:szCs w:val="24"/>
        </w:rPr>
      </w:pPr>
      <w:r w:rsidRPr="00073189">
        <w:rPr>
          <w:sz w:val="24"/>
          <w:szCs w:val="24"/>
        </w:rPr>
        <w:t xml:space="preserve">Príloha č. </w:t>
      </w:r>
      <w:r w:rsidR="002254B1" w:rsidRPr="00073189">
        <w:rPr>
          <w:sz w:val="24"/>
          <w:szCs w:val="24"/>
        </w:rPr>
        <w:t>5</w:t>
      </w:r>
      <w:r w:rsidRPr="00073189">
        <w:rPr>
          <w:sz w:val="24"/>
          <w:szCs w:val="24"/>
        </w:rPr>
        <w:t xml:space="preserve"> výzvy OP ĽZ DOP</w:t>
      </w:r>
      <w:r w:rsidR="00D139F4" w:rsidRPr="00073189">
        <w:rPr>
          <w:rFonts w:cs="Calibri"/>
          <w:sz w:val="24"/>
          <w:szCs w:val="24"/>
        </w:rPr>
        <w:t>2017/</w:t>
      </w:r>
      <w:r w:rsidR="00D97F32">
        <w:rPr>
          <w:rFonts w:cs="Calibri"/>
          <w:sz w:val="24"/>
          <w:szCs w:val="24"/>
        </w:rPr>
        <w:t>3.1.1/3.1.2</w:t>
      </w:r>
      <w:r w:rsidR="00D139F4" w:rsidRPr="00073189">
        <w:rPr>
          <w:rFonts w:cs="Calibri"/>
          <w:sz w:val="24"/>
          <w:szCs w:val="24"/>
        </w:rPr>
        <w:t>/0</w:t>
      </w:r>
      <w:r w:rsidR="00D97F32">
        <w:rPr>
          <w:rFonts w:cs="Calibri"/>
          <w:sz w:val="24"/>
          <w:szCs w:val="24"/>
        </w:rPr>
        <w:t>1</w:t>
      </w:r>
      <w:r w:rsidRPr="00073189">
        <w:rPr>
          <w:sz w:val="24"/>
          <w:szCs w:val="24"/>
        </w:rPr>
        <w:t xml:space="preserve"> </w:t>
      </w:r>
    </w:p>
    <w:p w:rsidR="00E15D7D" w:rsidRPr="00073189" w:rsidRDefault="00E15D7D" w:rsidP="00E15D7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u w:val="single"/>
        </w:rPr>
      </w:pPr>
    </w:p>
    <w:p w:rsidR="00073189" w:rsidRPr="00073189" w:rsidRDefault="00073189" w:rsidP="0007318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073189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 </w:t>
      </w: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73189">
        <w:rPr>
          <w:rFonts w:ascii="Calibri" w:hAnsi="Calibri" w:cs="Calibri"/>
          <w:color w:val="000000"/>
        </w:rPr>
        <w:t xml:space="preserve">Európska komisia zriadila a prevádzkuje Systém včasného odhaľovania rizika a vylúčených subjektov – The Early Detection and Exclusion System (ďalej len „EDES databáza“), aby posilnila ochranu finančných záujmov Európskej únie. Od 1. januára 2016 EDES databáza nahrádza Systém včasného varovania (Early Warning System – EWS) a Centrálnu databázu vylúčených subjektov (Central Exclusion Database – CED). </w:t>
      </w: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73189">
        <w:rPr>
          <w:rFonts w:ascii="Calibri" w:hAnsi="Calibri" w:cs="Calibri"/>
          <w:color w:val="000000"/>
        </w:rPr>
        <w:t xml:space="preserve"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Euratom) č. 966/2012 o rozpočtových pravidlách, ktoré sa vzťahujú na všeobecný rozpočet Únie v znení nariadenia (EÚ, Euratom) 1929/2015 (ďalej len „nariadenie o rozpočtových pravidlách“) a (3) ukladanie peňažných sankcií hospodárskym subjektom podľa článku 106 ods. 13 nariadenia o rozpočtových pravidlách. </w:t>
      </w: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73189">
        <w:rPr>
          <w:rFonts w:ascii="Calibri" w:hAnsi="Calibri" w:cs="Calibri"/>
          <w:color w:val="000000"/>
        </w:rPr>
        <w:t xml:space="preserve">Žiadatelia o nenávratný finančný príspevok 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 </w:t>
      </w: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E826F5" w:rsidRPr="00073189" w:rsidRDefault="00073189" w:rsidP="00073189">
      <w:pPr>
        <w:pStyle w:val="Default"/>
        <w:jc w:val="both"/>
        <w:rPr>
          <w:rFonts w:ascii="Calibri" w:hAnsi="Calibri" w:cs="Calibri"/>
        </w:rPr>
      </w:pPr>
      <w:r w:rsidRPr="00073189">
        <w:rPr>
          <w:rFonts w:ascii="Calibri" w:hAnsi="Calibri" w:cs="Calibri"/>
          <w:lang w:eastAsia="sk-SK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</w:p>
    <w:sectPr w:rsidR="00E826F5" w:rsidRPr="000731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D7" w:rsidRDefault="003F49D7" w:rsidP="00E15D7D">
      <w:r>
        <w:separator/>
      </w:r>
    </w:p>
  </w:endnote>
  <w:endnote w:type="continuationSeparator" w:id="0">
    <w:p w:rsidR="003F49D7" w:rsidRDefault="003F49D7" w:rsidP="00E1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69" w:rsidRPr="00AF0369" w:rsidRDefault="00AF0369">
    <w:pPr>
      <w:pStyle w:val="Pta"/>
      <w:jc w:val="right"/>
      <w:rPr>
        <w:rFonts w:ascii="Calibri" w:hAnsi="Calibri" w:cs="Calibri"/>
        <w:sz w:val="18"/>
        <w:szCs w:val="18"/>
      </w:rPr>
    </w:pPr>
    <w:r w:rsidRPr="00AF0369">
      <w:rPr>
        <w:rFonts w:ascii="Calibri" w:hAnsi="Calibri" w:cs="Calibri"/>
        <w:sz w:val="18"/>
        <w:szCs w:val="18"/>
      </w:rPr>
      <w:t xml:space="preserve">Strana </w:t>
    </w:r>
    <w:r w:rsidRPr="00AF0369">
      <w:rPr>
        <w:rFonts w:ascii="Calibri" w:hAnsi="Calibri" w:cs="Calibri"/>
        <w:bCs/>
        <w:sz w:val="18"/>
        <w:szCs w:val="18"/>
      </w:rPr>
      <w:fldChar w:fldCharType="begin"/>
    </w:r>
    <w:r w:rsidRPr="00AF0369">
      <w:rPr>
        <w:rFonts w:ascii="Calibri" w:hAnsi="Calibri" w:cs="Calibri"/>
        <w:bCs/>
        <w:sz w:val="18"/>
        <w:szCs w:val="18"/>
      </w:rPr>
      <w:instrText>PAGE</w:instrText>
    </w:r>
    <w:r w:rsidRPr="00AF0369">
      <w:rPr>
        <w:rFonts w:ascii="Calibri" w:hAnsi="Calibri" w:cs="Calibri"/>
        <w:bCs/>
        <w:sz w:val="18"/>
        <w:szCs w:val="18"/>
      </w:rPr>
      <w:fldChar w:fldCharType="separate"/>
    </w:r>
    <w:r w:rsidR="00C96CBD">
      <w:rPr>
        <w:rFonts w:ascii="Calibri" w:hAnsi="Calibri" w:cs="Calibri"/>
        <w:bCs/>
        <w:noProof/>
        <w:sz w:val="18"/>
        <w:szCs w:val="18"/>
      </w:rPr>
      <w:t>1</w:t>
    </w:r>
    <w:r w:rsidRPr="00AF0369">
      <w:rPr>
        <w:rFonts w:ascii="Calibri" w:hAnsi="Calibri" w:cs="Calibri"/>
        <w:bCs/>
        <w:sz w:val="18"/>
        <w:szCs w:val="18"/>
      </w:rPr>
      <w:fldChar w:fldCharType="end"/>
    </w:r>
    <w:r w:rsidRPr="00AF0369">
      <w:rPr>
        <w:rFonts w:ascii="Calibri" w:hAnsi="Calibri" w:cs="Calibri"/>
        <w:sz w:val="18"/>
        <w:szCs w:val="18"/>
      </w:rPr>
      <w:t xml:space="preserve"> z </w:t>
    </w:r>
    <w:r w:rsidRPr="00AF0369">
      <w:rPr>
        <w:rFonts w:ascii="Calibri" w:hAnsi="Calibri" w:cs="Calibri"/>
        <w:bCs/>
        <w:sz w:val="18"/>
        <w:szCs w:val="18"/>
      </w:rPr>
      <w:fldChar w:fldCharType="begin"/>
    </w:r>
    <w:r w:rsidRPr="00AF0369">
      <w:rPr>
        <w:rFonts w:ascii="Calibri" w:hAnsi="Calibri" w:cs="Calibri"/>
        <w:bCs/>
        <w:sz w:val="18"/>
        <w:szCs w:val="18"/>
      </w:rPr>
      <w:instrText>NUMPAGES</w:instrText>
    </w:r>
    <w:r w:rsidRPr="00AF0369">
      <w:rPr>
        <w:rFonts w:ascii="Calibri" w:hAnsi="Calibri" w:cs="Calibri"/>
        <w:bCs/>
        <w:sz w:val="18"/>
        <w:szCs w:val="18"/>
      </w:rPr>
      <w:fldChar w:fldCharType="separate"/>
    </w:r>
    <w:r w:rsidR="00C96CBD">
      <w:rPr>
        <w:rFonts w:ascii="Calibri" w:hAnsi="Calibri" w:cs="Calibri"/>
        <w:bCs/>
        <w:noProof/>
        <w:sz w:val="18"/>
        <w:szCs w:val="18"/>
      </w:rPr>
      <w:t>1</w:t>
    </w:r>
    <w:r w:rsidRPr="00AF0369">
      <w:rPr>
        <w:rFonts w:ascii="Calibri" w:hAnsi="Calibri" w:cs="Calibri"/>
        <w:bCs/>
        <w:sz w:val="18"/>
        <w:szCs w:val="18"/>
      </w:rPr>
      <w:fldChar w:fldCharType="end"/>
    </w:r>
  </w:p>
  <w:p w:rsidR="00AF0369" w:rsidRDefault="00AF0369">
    <w:pPr>
      <w:pStyle w:val="Pta"/>
    </w:pPr>
  </w:p>
  <w:p w:rsidR="00AF0369" w:rsidRDefault="00AF03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D7" w:rsidRDefault="003F49D7" w:rsidP="00E15D7D">
      <w:r>
        <w:separator/>
      </w:r>
    </w:p>
  </w:footnote>
  <w:footnote w:type="continuationSeparator" w:id="0">
    <w:p w:rsidR="003F49D7" w:rsidRDefault="003F49D7" w:rsidP="00E1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63" w:rsidRPr="00550563" w:rsidRDefault="00C96CBD" w:rsidP="00550563">
    <w:pPr>
      <w:pStyle w:val="Hlavika"/>
      <w:tabs>
        <w:tab w:val="clear" w:pos="4536"/>
      </w:tabs>
      <w:rPr>
        <w:rFonts w:ascii="Times New Roman" w:hAnsi="Times New Roman"/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0" t="0" r="19050" b="28575"/>
              <wp:wrapNone/>
              <wp:docPr id="1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6.35pt;margin-top:44.25pt;width:48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TBOAIAAE4EAAAOAAAAZHJzL2Uyb0RvYy54bWysVFFu2zAM/R+wOwj+T21nTpYYTYrVTvbT&#10;bcHaHUCRZFurLQqSGicYdpgeYKcodq9RihO0288w7EemRPHxkXzy5dW+a8lOGCtBLaL0IomIUAy4&#10;VPUi+nK3Hs0iYh1VnLagxCI6CBtdLV+/uux1LsbQQMuFIQiibN7rRdQ4p/M4tqwRHbUXoIVCZwWm&#10;ow63po65oT2id208TpJp3IPh2gAT1uJpeXRGy4BfVYK5T1VlhSPtIkJuLqwmrFu/xstLmteG6kay&#10;gQb9BxYdlQqTnqFK6ih5MPIPqE4yAxYqd8Ggi6GqJBOhBqwmTX6r5rahWoRasDlWn9tk/x8s+7jb&#10;GCI5zi4iinY4os+wU0+PxGr4CjvKJCU/H59+6HtKxr5dvbY5RhVqY3zBbK9u9Q2we0sUFA1VtQi0&#10;7w4asVIfEb8I8RurMem2/wAc79AHB6F3+8p0HhK7QvZhRIfziMTeEYaH0zSdJBOcJEPffDKehAQ0&#10;P8VqY917AR3xxiKyzlBZN64ApVALYNKQie5urPPMaH4K8IkVrGXbBkm0ivRDAu+x0ErunWFj6m3R&#10;GrKjKKr1dZldZwOLF9cMPCgewBpB+WqwHZXt0cbkrfJ4WBvSGayjar7Nk/lqtpplo2w8XY2ypCxH&#10;79ZFNpqu07eT8k1ZFGX63deSZnkjORfKszspOM3+TiHDWzpq76zhcxvil+ihX0j29A2kw3D9PI/K&#10;2AI/bMxp6CjacHl4YP5VPN+j/fw3sPwFAAD//wMAUEsDBBQABgAIAAAAIQC0SiXp4AAAAAkBAAAP&#10;AAAAZHJzL2Rvd25yZXYueG1sTI+xTsMwEIZ3JN7BOiS21m5RwE3jVBSJBTE0LQxsbmySKPE5st02&#10;vD3HRLc73af/vr/YTG5gZxti51HBYi6AWay96bBR8HF4nUlgMWk0evBoFfzYCJvy9qbQufEXrOx5&#10;nxpGIRhzraBNacw5j3VrnY5zP1qk27cPTidaQ8NN0BcKdwNfCvHIne6QPrR6tC+trfv9ySnItvLw&#10;1eO2edt9Btm/d5XJdpVS93fT8xpYslP6h+FPn9ShJKejP6GJbFAwWyyfCFUgZQaMgFUmHoAdaRAC&#10;eFnw6wblLwAAAP//AwBQSwECLQAUAAYACAAAACEAtoM4kv4AAADhAQAAEwAAAAAAAAAAAAAAAAAA&#10;AAAAW0NvbnRlbnRfVHlwZXNdLnhtbFBLAQItABQABgAIAAAAIQA4/SH/1gAAAJQBAAALAAAAAAAA&#10;AAAAAAAAAC8BAABfcmVscy8ucmVsc1BLAQItABQABgAIAAAAIQCHURTBOAIAAE4EAAAOAAAAAAAA&#10;AAAAAAAAAC4CAABkcnMvZTJvRG9jLnhtbFBLAQItABQABgAIAAAAIQC0SiXp4AAAAAkBAAAPAAAA&#10;AAAAAAAAAAAAAJIEAABkcnMvZG93bnJldi54bWxQSwUGAAAAAAQABADzAAAAnwUAAAAA&#10;" strokecolor="#fbd4b4"/>
          </w:pict>
        </mc:Fallback>
      </mc:AlternateContent>
    </w:r>
    <w:r>
      <w:rPr>
        <w:noProof/>
        <w:lang w:eastAsia="sk-SK"/>
      </w:rPr>
      <w:drawing>
        <wp:inline distT="0" distB="0" distL="0" distR="0">
          <wp:extent cx="5734050" cy="3810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0E3"/>
    <w:multiLevelType w:val="hybridMultilevel"/>
    <w:tmpl w:val="2E20D04C"/>
    <w:lvl w:ilvl="0" w:tplc="D196F3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5A4C"/>
    <w:multiLevelType w:val="hybridMultilevel"/>
    <w:tmpl w:val="DA6E4DF8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7D"/>
    <w:rsid w:val="00073189"/>
    <w:rsid w:val="00087EAF"/>
    <w:rsid w:val="000E5440"/>
    <w:rsid w:val="00111249"/>
    <w:rsid w:val="001E0441"/>
    <w:rsid w:val="002254B1"/>
    <w:rsid w:val="002758A6"/>
    <w:rsid w:val="002C3C25"/>
    <w:rsid w:val="00304769"/>
    <w:rsid w:val="00313D75"/>
    <w:rsid w:val="00317FC7"/>
    <w:rsid w:val="00347015"/>
    <w:rsid w:val="00366963"/>
    <w:rsid w:val="00380C7C"/>
    <w:rsid w:val="003C19FB"/>
    <w:rsid w:val="003F49D7"/>
    <w:rsid w:val="00462511"/>
    <w:rsid w:val="004D44D6"/>
    <w:rsid w:val="005132D9"/>
    <w:rsid w:val="00550563"/>
    <w:rsid w:val="005C0D09"/>
    <w:rsid w:val="005E497B"/>
    <w:rsid w:val="00643E10"/>
    <w:rsid w:val="00662CD9"/>
    <w:rsid w:val="006C4CD9"/>
    <w:rsid w:val="006D6181"/>
    <w:rsid w:val="00701CDA"/>
    <w:rsid w:val="00705371"/>
    <w:rsid w:val="00723413"/>
    <w:rsid w:val="00723593"/>
    <w:rsid w:val="007351BB"/>
    <w:rsid w:val="0075639C"/>
    <w:rsid w:val="0078477F"/>
    <w:rsid w:val="00787E4F"/>
    <w:rsid w:val="00812B04"/>
    <w:rsid w:val="00891613"/>
    <w:rsid w:val="008A2CBE"/>
    <w:rsid w:val="008F53DF"/>
    <w:rsid w:val="009467F4"/>
    <w:rsid w:val="009B4DB4"/>
    <w:rsid w:val="009E1D0C"/>
    <w:rsid w:val="00A06244"/>
    <w:rsid w:val="00AC2EF7"/>
    <w:rsid w:val="00AF0369"/>
    <w:rsid w:val="00B1496C"/>
    <w:rsid w:val="00B42ED8"/>
    <w:rsid w:val="00B762F5"/>
    <w:rsid w:val="00BF3A1E"/>
    <w:rsid w:val="00C96CBD"/>
    <w:rsid w:val="00CB0DD8"/>
    <w:rsid w:val="00D139F4"/>
    <w:rsid w:val="00D97F32"/>
    <w:rsid w:val="00DC054F"/>
    <w:rsid w:val="00E15D7D"/>
    <w:rsid w:val="00E20440"/>
    <w:rsid w:val="00E826F5"/>
    <w:rsid w:val="00EB3528"/>
    <w:rsid w:val="00F02286"/>
    <w:rsid w:val="00F15597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D7D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5D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E15D7D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15D7D"/>
    <w:rPr>
      <w:rFonts w:ascii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5D7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15D7D"/>
    <w:rPr>
      <w:rFonts w:ascii="Times New Roman" w:hAnsi="Times New Roman" w:cs="Times New Roman"/>
      <w:sz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5D7D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11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11249"/>
    <w:rPr>
      <w:rFonts w:ascii="Times New Roman" w:hAnsi="Times New Roman" w:cs="Times New Roman"/>
      <w:sz w:val="24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D7D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5D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E15D7D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15D7D"/>
    <w:rPr>
      <w:rFonts w:ascii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5D7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15D7D"/>
    <w:rPr>
      <w:rFonts w:ascii="Times New Roman" w:hAnsi="Times New Roman" w:cs="Times New Roman"/>
      <w:sz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5D7D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11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11249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EEF9-0855-44B8-B168-1E597F45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Vaneková Jana</cp:lastModifiedBy>
  <cp:revision>2</cp:revision>
  <dcterms:created xsi:type="dcterms:W3CDTF">2017-12-21T14:14:00Z</dcterms:created>
  <dcterms:modified xsi:type="dcterms:W3CDTF">2017-12-21T14:14:00Z</dcterms:modified>
</cp:coreProperties>
</file>