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bookmarkStart w:id="0" w:name="_GoBack"/>
      <w:bookmarkEnd w:id="0"/>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1"/>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2" w:name="OLE_LINK3"/>
      <w:bookmarkStart w:id="3" w:name="OLE_LINK4"/>
      <w:r w:rsidRPr="00B14C09">
        <w:rPr>
          <w:sz w:val="22"/>
        </w:rPr>
        <w:tab/>
      </w:r>
      <w:bookmarkEnd w:id="2"/>
      <w:bookmarkEnd w:id="3"/>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5A90F814"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151D23">
        <w:rPr>
          <w:sz w:val="22"/>
        </w:rPr>
        <w:t>Bc. Milan Krajniak</w:t>
      </w:r>
      <w:r w:rsidRPr="00B14C09">
        <w:rPr>
          <w:sz w:val="22"/>
        </w:rPr>
        <w:t xml:space="preserve">,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3B70D4AD"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t xml:space="preserve">Ing. </w:t>
      </w:r>
      <w:r w:rsidR="00151D23">
        <w:rPr>
          <w:sz w:val="22"/>
        </w:rPr>
        <w:t>Zuzana Borgulová</w:t>
      </w:r>
      <w:r w:rsidRPr="00B14C09">
        <w:rPr>
          <w:sz w:val="22"/>
        </w:rPr>
        <w:t>, generáln</w:t>
      </w:r>
      <w:r w:rsidR="00151D23">
        <w:rPr>
          <w:sz w:val="22"/>
        </w:rPr>
        <w:t>a</w:t>
      </w:r>
      <w:r w:rsidRPr="00B14C09">
        <w:rPr>
          <w:sz w:val="22"/>
        </w:rPr>
        <w:t xml:space="preserve"> riaditeľ</w:t>
      </w:r>
      <w:r w:rsidR="00151D23">
        <w:rPr>
          <w:sz w:val="22"/>
        </w:rPr>
        <w:t>ka</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 xml:space="preserve">na základe splnomocnenia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77777777" w:rsidR="00514B2F" w:rsidRPr="00B14C09" w:rsidRDefault="00514B2F" w:rsidP="00B14C09">
      <w:pPr>
        <w:pStyle w:val="AOHead3"/>
        <w:spacing w:before="120" w:line="276" w:lineRule="auto"/>
      </w:pPr>
      <w:r w:rsidRPr="00B14C09">
        <w:t xml:space="preserve">akýkoľvek odkaz na Právne  predpisy  alebo právne akty EÚ, právne predpisy SR alebo Právne dokumenty, vrátane Systému riadenia EŠIF, odkazuje aj na akúkoľvek ich zmenu, </w:t>
      </w:r>
      <w:proofErr w:type="spellStart"/>
      <w:r w:rsidRPr="00B14C09">
        <w:t>t.j</w:t>
      </w:r>
      <w:proofErr w:type="spellEnd"/>
      <w:r w:rsidRPr="00B14C09">
        <w:t>.  použije sa vždy v platnom znení;</w:t>
      </w:r>
    </w:p>
    <w:p w14:paraId="514722E2" w14:textId="77777777" w:rsidR="00514B2F" w:rsidRPr="00B14C09" w:rsidRDefault="00514B2F" w:rsidP="00B14C09">
      <w:pPr>
        <w:pStyle w:val="AOHead3"/>
        <w:spacing w:before="120" w:line="276" w:lineRule="auto"/>
      </w:pPr>
      <w:r w:rsidRPr="00B14C09">
        <w:lastRenderedPageBreak/>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5BF3FA6" w14:textId="5C4C4FB2"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Schéma pomoci:</w:t>
      </w:r>
      <w:r w:rsidRPr="00B14C09">
        <w:rPr>
          <w:rFonts w:eastAsia="SimSun"/>
          <w:sz w:val="22"/>
        </w:rPr>
        <w:tab/>
      </w:r>
      <w:r w:rsidR="0054090A" w:rsidRPr="00551104">
        <w:rPr>
          <w:sz w:val="22"/>
          <w:szCs w:val="22"/>
        </w:rPr>
        <w:t>Schéma štátnej pomoci na podporu opatrovateľskej služby</w:t>
      </w:r>
      <w:r w:rsidR="0054090A" w:rsidRPr="00551104">
        <w:rPr>
          <w:i/>
          <w:sz w:val="22"/>
          <w:szCs w:val="22"/>
        </w:rPr>
        <w:t xml:space="preserve"> </w:t>
      </w:r>
      <w:r w:rsidR="0054090A" w:rsidRPr="009E7B2D">
        <w:rPr>
          <w:i/>
          <w:iCs/>
        </w:rPr>
        <w:t>(schéma štátnej pomoci vo forme náhrady za služby všeobecného hospodárskeho záujmu č. ŠP SVHZ - 1/2018)</w:t>
      </w:r>
      <w:r w:rsidR="0054090A">
        <w:rPr>
          <w:i/>
          <w:iCs/>
        </w:rPr>
        <w:t xml:space="preserve">  </w:t>
      </w: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Projektu definovaných </w:t>
      </w:r>
      <w:r w:rsidR="00314242" w:rsidRPr="00B14C09">
        <w:rPr>
          <w:rFonts w:eastAsia="SimSun"/>
          <w:sz w:val="22"/>
        </w:rPr>
        <w:lastRenderedPageBreak/>
        <w:t xml:space="preserve">v Prílohe č. 2 </w:t>
      </w:r>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65E3D4DC"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769A3800"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r w:rsidR="002F33B5" w:rsidRPr="006A0A38">
        <w:rPr>
          <w:rFonts w:eastAsia="Times New Roman"/>
          <w:b w:val="0"/>
          <w:lang w:eastAsia="sk-SK"/>
        </w:rPr>
        <w:t>verejného obstarávania (ďalej aj „VO“)</w:t>
      </w:r>
      <w:r w:rsidRPr="00B14C09">
        <w:rPr>
          <w:b w:val="0"/>
        </w:rPr>
        <w:t>, s kontrolou Žiadosti o platbu vykonávanou formou finančnej kontroly ako aj 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201EAA7F"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 mu počas trvania tohto porušenia povinnosti vyplaten</w:t>
      </w:r>
      <w:r w:rsidR="002F33B5">
        <w:rPr>
          <w:b w:val="0"/>
        </w:rPr>
        <w:t>ý</w:t>
      </w:r>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r w:rsidR="002F33B5">
        <w:rPr>
          <w:sz w:val="22"/>
        </w:rPr>
        <w:t xml:space="preserve"> </w:t>
      </w:r>
      <w:r w:rsidR="002F33B5">
        <w:rPr>
          <w:sz w:val="22"/>
          <w:szCs w:val="22"/>
        </w:rPr>
        <w:t>(slovom: ............... percent)</w:t>
      </w:r>
      <w:r w:rsidRPr="00B14C09">
        <w:rPr>
          <w:sz w:val="22"/>
        </w:rPr>
        <w:t xml:space="preserve"> z </w:t>
      </w:r>
      <w:r w:rsidRPr="00B14C09" w:rsidDel="005352DC">
        <w:rPr>
          <w:sz w:val="22"/>
        </w:rPr>
        <w:t xml:space="preserve"> </w:t>
      </w:r>
      <w:r w:rsidRPr="00B14C09">
        <w:rPr>
          <w:sz w:val="22"/>
        </w:rPr>
        <w:t xml:space="preserve">Celkových 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4"/>
      <w:r w:rsidRPr="00B14C09">
        <w:lastRenderedPageBreak/>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4"/>
      <w:r w:rsidRPr="00B14C09">
        <w:rPr>
          <w:rStyle w:val="Odkaznakomentr"/>
          <w:sz w:val="22"/>
        </w:rPr>
        <w:commentReference w:id="4"/>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5"/>
      <w:r w:rsidRPr="00D901D6">
        <w:t xml:space="preserve">financovanie Projektu z vlastných zdrojov vo výške </w:t>
      </w:r>
      <w:commentRangeStart w:id="6"/>
      <w:r w:rsidRPr="00D901D6">
        <w:t>...... %</w:t>
      </w:r>
      <w:commentRangeEnd w:id="6"/>
      <w:r w:rsidRPr="00D901D6">
        <w:rPr>
          <w:rStyle w:val="Odkaznakomentr"/>
          <w:rFonts w:eastAsia="Times New Roman"/>
          <w:sz w:val="22"/>
          <w:lang w:eastAsia="sk-SK"/>
        </w:rPr>
        <w:commentReference w:id="6"/>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5"/>
      <w:r w:rsidRPr="00D901D6">
        <w:rPr>
          <w:rStyle w:val="Odkaznakomentr"/>
          <w:rFonts w:eastAsia="Times New Roman"/>
          <w:sz w:val="22"/>
          <w:lang w:eastAsia="sk-SK"/>
        </w:rPr>
        <w:commentReference w:id="5"/>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7"/>
      <w:r w:rsidR="00811145" w:rsidRPr="00D901D6">
        <w:t xml:space="preserve">alebo tieto pokryje prostredníctvom Vecného príspevku </w:t>
      </w:r>
      <w:commentRangeEnd w:id="7"/>
      <w:r w:rsidR="00811145" w:rsidRPr="00D901D6">
        <w:rPr>
          <w:rStyle w:val="Odkaznakomentr"/>
          <w:rFonts w:eastAsia="Times New Roman"/>
          <w:sz w:val="22"/>
          <w:lang w:eastAsia="sk-SK"/>
        </w:rPr>
        <w:commentReference w:id="7"/>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8"/>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9"/>
      <w:r w:rsidRPr="00D901D6">
        <w:rPr>
          <w:sz w:val="22"/>
          <w:szCs w:val="22"/>
          <w:lang w:eastAsia="en-US"/>
        </w:rPr>
        <w:t xml:space="preserve">je povinný vrátiť NFP alebo jeho časť </w:t>
      </w:r>
      <w:commentRangeEnd w:id="9"/>
      <w:r w:rsidRPr="00D901D6">
        <w:rPr>
          <w:rStyle w:val="Odkaznakomentr"/>
          <w:sz w:val="22"/>
          <w:szCs w:val="22"/>
        </w:rPr>
        <w:commentReference w:id="9"/>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8"/>
      <w:r w:rsidRPr="00D901D6">
        <w:rPr>
          <w:rStyle w:val="Odkaznakomentr"/>
          <w:sz w:val="22"/>
          <w:szCs w:val="22"/>
        </w:rPr>
        <w:commentReference w:id="8"/>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lastRenderedPageBreak/>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6CCE40DE" w14:textId="30B0D50D" w:rsidR="00AF44C1" w:rsidRPr="00551104" w:rsidRDefault="00AF44C1" w:rsidP="00AF44C1">
      <w:pPr>
        <w:numPr>
          <w:ilvl w:val="1"/>
          <w:numId w:val="4"/>
        </w:numPr>
        <w:spacing w:before="120" w:line="276" w:lineRule="auto"/>
        <w:ind w:hanging="720"/>
        <w:jc w:val="both"/>
        <w:rPr>
          <w:sz w:val="22"/>
          <w:szCs w:val="22"/>
        </w:rPr>
      </w:pPr>
      <w:r w:rsidRPr="00551104">
        <w:rPr>
          <w:sz w:val="22"/>
          <w:szCs w:val="22"/>
        </w:rPr>
        <w:t>V nadväznosti na ustan</w:t>
      </w:r>
      <w:r>
        <w:rPr>
          <w:sz w:val="22"/>
          <w:szCs w:val="22"/>
        </w:rPr>
        <w:t>ovenia písmena</w:t>
      </w:r>
      <w:r w:rsidRPr="00551104">
        <w:rPr>
          <w:sz w:val="22"/>
          <w:szCs w:val="22"/>
        </w:rPr>
        <w:t xml:space="preserve"> </w:t>
      </w:r>
      <w:r>
        <w:rPr>
          <w:sz w:val="22"/>
          <w:szCs w:val="22"/>
        </w:rPr>
        <w:t>C.</w:t>
      </w:r>
      <w:r w:rsidRPr="00551104">
        <w:rPr>
          <w:sz w:val="22"/>
          <w:szCs w:val="22"/>
        </w:rPr>
        <w:t xml:space="preserve"> schémy pomoci si je</w:t>
      </w:r>
      <w:r>
        <w:rPr>
          <w:sz w:val="22"/>
          <w:szCs w:val="22"/>
        </w:rPr>
        <w:t xml:space="preserve"> Prijímateľ vedomý, že dohodnutý NFP mu bude poskytnutý</w:t>
      </w:r>
      <w:r w:rsidRPr="00551104">
        <w:rPr>
          <w:sz w:val="22"/>
          <w:szCs w:val="22"/>
        </w:rPr>
        <w:t xml:space="preserve"> iba vtedy, ak bude preukázaná jeho potreba pre dosiahnutie cieľov stanovených v Projekte, čo znamená, že musí byť zjavná spojitosť medzi poskytovaným NFP a Oprávnenými výdavkami Projektu.</w:t>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64F9D1A4"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w:t>
      </w:r>
      <w:r w:rsidR="007C032E" w:rsidRPr="00D901D6">
        <w:rPr>
          <w:sz w:val="22"/>
          <w:szCs w:val="22"/>
        </w:rPr>
        <w:lastRenderedPageBreak/>
        <w:t xml:space="preserve">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p>
    <w:p w14:paraId="4E44484C" w14:textId="1483ADF1"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t xml:space="preserve">Zmluvné strany sa </w:t>
      </w:r>
      <w:r w:rsidR="007C032E" w:rsidRPr="00B14C09">
        <w:rPr>
          <w:sz w:val="22"/>
        </w:rPr>
        <w:t xml:space="preserve">dohodli, že ich komunikácia </w:t>
      </w:r>
      <w:r w:rsidR="007C032E" w:rsidRPr="00D901D6">
        <w:rPr>
          <w:sz w:val="22"/>
          <w:szCs w:val="22"/>
        </w:rPr>
        <w:t>bude</w:t>
      </w:r>
      <w:r w:rsidRPr="00B14C09">
        <w:rPr>
          <w:sz w:val="22"/>
        </w:rPr>
        <w:t xml:space="preserve"> prebiehať v elektronickej podobe, a to najmä v prípade </w:t>
      </w:r>
      <w:r w:rsidRPr="00D901D6">
        <w:rPr>
          <w:sz w:val="22"/>
          <w:szCs w:val="22"/>
        </w:rPr>
        <w:t>bežnej</w:t>
      </w:r>
      <w:r w:rsidRPr="00B14C09">
        <w:rPr>
          <w:sz w:val="22"/>
        </w:rPr>
        <w:t xml:space="preserve"> komunikácie prostredníctvom elektronickej správy (e-mailu), v ostatných prípadoch prostredníctvom ITMS 2014+</w:t>
      </w:r>
      <w:r w:rsidR="002F33B5">
        <w:rPr>
          <w:sz w:val="22"/>
        </w:rPr>
        <w:t xml:space="preserve"> </w:t>
      </w:r>
      <w:r w:rsidR="002F33B5">
        <w:rPr>
          <w:sz w:val="22"/>
          <w:szCs w:val="22"/>
        </w:rPr>
        <w:t xml:space="preserve">(netýka sa elektronického podania v ITMS2014+, ktoré je považované za podanie prostredníctvom </w:t>
      </w:r>
      <w:r w:rsidR="002F33B5" w:rsidRPr="008A3544">
        <w:rPr>
          <w:sz w:val="22"/>
          <w:szCs w:val="22"/>
        </w:rPr>
        <w:t>Ústredného portálu verejnej správy</w:t>
      </w:r>
      <w:r w:rsidR="002F33B5">
        <w:rPr>
          <w:sz w:val="22"/>
          <w:szCs w:val="22"/>
        </w:rPr>
        <w:t>)</w:t>
      </w:r>
      <w:r w:rsidRPr="00B14C09">
        <w:rPr>
          <w:sz w:val="22"/>
        </w:rPr>
        <w:t xml:space="preserve">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4176B52B"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B14C0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64962B56"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3B1E34F7" w:rsidR="00CA1FCF" w:rsidRPr="00B14C09" w:rsidRDefault="00CA1FCF" w:rsidP="00B14C09">
      <w:pPr>
        <w:spacing w:before="120" w:line="276" w:lineRule="auto"/>
        <w:ind w:left="567" w:hanging="567"/>
        <w:jc w:val="both"/>
        <w:rPr>
          <w:sz w:val="22"/>
        </w:rPr>
      </w:pPr>
      <w:r w:rsidRPr="00B14C09">
        <w:rPr>
          <w:sz w:val="22"/>
        </w:rPr>
        <w:t xml:space="preserve">4.5 </w:t>
      </w:r>
      <w:r w:rsidRPr="00B14C09">
        <w:rPr>
          <w:sz w:val="22"/>
        </w:rPr>
        <w:tab/>
      </w:r>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čiastkovej správy alebo návrhu správy Poskytovateľovi, aj keď sa o tom Prijímateľ nedozvedel (fikcia doručenia).</w:t>
      </w:r>
    </w:p>
    <w:p w14:paraId="18728595" w14:textId="77777777" w:rsidR="00CA1FCF" w:rsidRPr="00B14C09" w:rsidRDefault="00CA1FCF" w:rsidP="00B14C09">
      <w:pPr>
        <w:spacing w:before="120" w:line="276" w:lineRule="auto"/>
        <w:ind w:left="567" w:hanging="567"/>
        <w:jc w:val="both"/>
        <w:rPr>
          <w:sz w:val="22"/>
        </w:rPr>
      </w:pPr>
      <w:r w:rsidRPr="00B14C09">
        <w:rPr>
          <w:sz w:val="22"/>
        </w:rPr>
        <w:lastRenderedPageBreak/>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10"/>
      <w:r w:rsidRPr="00B14C09">
        <w:rPr>
          <w:sz w:val="22"/>
        </w:rPr>
        <w:t>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commentRangeEnd w:id="10"/>
      <w:r w:rsidRPr="00D901D6">
        <w:rPr>
          <w:rStyle w:val="Odkaznakomentr"/>
          <w:sz w:val="22"/>
          <w:szCs w:val="22"/>
        </w:rPr>
        <w:commentReference w:id="10"/>
      </w:r>
      <w:r w:rsidRPr="00B14C09">
        <w:rPr>
          <w:sz w:val="22"/>
        </w:rPr>
        <w:t xml:space="preserve">Za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Pr="00B14C09" w:rsidRDefault="00CA1FCF" w:rsidP="00B14C09">
      <w:pPr>
        <w:spacing w:before="120" w:line="276" w:lineRule="auto"/>
        <w:ind w:left="540" w:hanging="540"/>
        <w:jc w:val="both"/>
        <w:rPr>
          <w:sz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lastRenderedPageBreak/>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10E2B73C"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11"/>
      <w:r w:rsidRPr="00D901D6">
        <w:rPr>
          <w:sz w:val="22"/>
          <w:szCs w:val="22"/>
        </w:rPr>
        <w:t>Poistenie</w:t>
      </w:r>
      <w:r w:rsidRPr="00B14C09">
        <w:rPr>
          <w:sz w:val="22"/>
        </w:rPr>
        <w:t xml:space="preserve"> pokrývajúce poistenie majetku </w:t>
      </w:r>
      <w:commentRangeEnd w:id="11"/>
      <w:r w:rsidRPr="00D901D6">
        <w:rPr>
          <w:rStyle w:val="Odkaznakomentr"/>
          <w:sz w:val="22"/>
          <w:szCs w:val="22"/>
        </w:rPr>
        <w:commentReference w:id="11"/>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649C218E"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r w:rsidR="002F33B5">
        <w:rPr>
          <w:sz w:val="22"/>
        </w:rPr>
        <w:t>subjektami</w:t>
      </w:r>
      <w:r w:rsidR="002F33B5" w:rsidRPr="00B14C09">
        <w:rPr>
          <w:sz w:val="22"/>
        </w:rPr>
        <w:t xml:space="preserve"> </w:t>
      </w:r>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2"/>
      <w:commentRangeStart w:id="13"/>
      <w:r w:rsidRPr="00B14C09">
        <w:rPr>
          <w:sz w:val="22"/>
        </w:rPr>
        <w:t>vzťahmi</w:t>
      </w:r>
      <w:commentRangeEnd w:id="12"/>
      <w:r w:rsidRPr="00D901D6">
        <w:rPr>
          <w:rStyle w:val="Odkaznakomentr"/>
          <w:sz w:val="22"/>
          <w:szCs w:val="22"/>
        </w:rPr>
        <w:commentReference w:id="12"/>
      </w:r>
      <w:r w:rsidRPr="00D901D6">
        <w:rPr>
          <w:sz w:val="22"/>
          <w:szCs w:val="22"/>
        </w:rPr>
        <w:t xml:space="preserve">. </w:t>
      </w:r>
      <w:commentRangeStart w:id="14"/>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13"/>
      <w:commentRangeEnd w:id="14"/>
      <w:r w:rsidR="00CE6C35" w:rsidRPr="0017171B">
        <w:rPr>
          <w:rStyle w:val="Odkaznakomentr"/>
          <w:sz w:val="24"/>
        </w:rPr>
        <w:commentReference w:id="13"/>
      </w:r>
      <w:r w:rsidRPr="00D901D6">
        <w:rPr>
          <w:rStyle w:val="Odkaznakomentr"/>
          <w:sz w:val="22"/>
          <w:szCs w:val="22"/>
        </w:rPr>
        <w:commentReference w:id="14"/>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Default="00CE6C35" w:rsidP="00B14C09">
      <w:pPr>
        <w:pStyle w:val="Zarkazkladnhotextu2"/>
        <w:numPr>
          <w:ilvl w:val="1"/>
          <w:numId w:val="12"/>
        </w:numPr>
        <w:spacing w:line="276" w:lineRule="auto"/>
        <w:rPr>
          <w:sz w:val="22"/>
        </w:rPr>
      </w:pPr>
      <w:commentRangeStart w:id="15"/>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w:t>
      </w:r>
      <w:r w:rsidRPr="00B14C09">
        <w:rPr>
          <w:sz w:val="22"/>
        </w:rPr>
        <w:lastRenderedPageBreak/>
        <w:t xml:space="preserve">a jeho Dodávateľom, pričom tieto nesmú byť v rozpore s pravidlami stanovenými Poskytovateľom v Právnych dokumentoch (napr. v Príručke pre Prijímateľa). </w:t>
      </w:r>
      <w:commentRangeEnd w:id="15"/>
      <w:r w:rsidRPr="00B14C09">
        <w:rPr>
          <w:rStyle w:val="Odkaznakomentr"/>
          <w:sz w:val="22"/>
        </w:rPr>
        <w:commentReference w:id="15"/>
      </w:r>
    </w:p>
    <w:p w14:paraId="35228677" w14:textId="77777777" w:rsidR="00CD7345" w:rsidRPr="00551104" w:rsidRDefault="00CD7345" w:rsidP="00CD7345">
      <w:pPr>
        <w:pStyle w:val="Zarkazkladnhotextu2"/>
        <w:numPr>
          <w:ilvl w:val="1"/>
          <w:numId w:val="101"/>
        </w:numPr>
        <w:tabs>
          <w:tab w:val="num" w:pos="426"/>
        </w:tabs>
        <w:spacing w:line="264" w:lineRule="auto"/>
        <w:ind w:left="426" w:hanging="426"/>
        <w:rPr>
          <w:sz w:val="22"/>
          <w:szCs w:val="22"/>
        </w:rPr>
      </w:pPr>
      <w:r w:rsidRPr="00551104">
        <w:rPr>
          <w:sz w:val="22"/>
          <w:szCs w:val="22"/>
        </w:rPr>
        <w:t xml:space="preserve">Poskytovateľ poskytuje na základe tejto Zmluvy o poskytnutí NFP Prijímateľovi  štátnu pomoc vo forme náhrady za poskytovanie služieb všeobecného hospodárskeho záujmu podľa schémy štátnej pomoci </w:t>
      </w:r>
      <w:r w:rsidRPr="00551104">
        <w:rPr>
          <w:i/>
          <w:sz w:val="22"/>
          <w:szCs w:val="22"/>
        </w:rPr>
        <w:t>(Schéma štátnej pomoci na podporu opatrovateľskej služby)</w:t>
      </w:r>
      <w:r w:rsidRPr="00551104">
        <w:rPr>
          <w:sz w:val="22"/>
          <w:szCs w:val="22"/>
        </w:rPr>
        <w:t xml:space="preserve"> a v súlade s Rozhodnutím komisie č. 2012/21/EÚ z 20.12.2011 o uplatňovaní článku 106 ods. 2 Zmluvy o fungovaní Európskej únie na štátnu pomoc vo forme náhrady za službu vo verejnom záujme udeľovanej niektorým podnikom povereným poskytovaním služieb všeobecného hospodárskeho záujmu</w:t>
      </w:r>
      <w:r w:rsidRPr="00551104">
        <w:rPr>
          <w:rStyle w:val="Odkaznapoznmkupodiarou"/>
          <w:sz w:val="22"/>
          <w:szCs w:val="22"/>
        </w:rPr>
        <w:footnoteReference w:id="5"/>
      </w:r>
      <w:r w:rsidRPr="00551104">
        <w:rPr>
          <w:sz w:val="22"/>
          <w:szCs w:val="22"/>
        </w:rPr>
        <w:t xml:space="preserve"> (ďalej len ako „</w:t>
      </w:r>
      <w:r w:rsidRPr="00551104">
        <w:rPr>
          <w:b/>
          <w:i/>
          <w:sz w:val="22"/>
          <w:szCs w:val="22"/>
        </w:rPr>
        <w:t>Rozhodnutie komisie</w:t>
      </w:r>
      <w:r w:rsidRPr="00551104">
        <w:rPr>
          <w:sz w:val="22"/>
          <w:szCs w:val="22"/>
        </w:rPr>
        <w:t xml:space="preserve">“). </w:t>
      </w:r>
    </w:p>
    <w:p w14:paraId="088D5428" w14:textId="77777777" w:rsidR="00CD7345" w:rsidRPr="00551104" w:rsidRDefault="00CD7345" w:rsidP="00CD7345">
      <w:pPr>
        <w:pStyle w:val="Zarkazkladnhotextu2"/>
        <w:numPr>
          <w:ilvl w:val="1"/>
          <w:numId w:val="101"/>
        </w:numPr>
        <w:tabs>
          <w:tab w:val="num" w:pos="426"/>
        </w:tabs>
        <w:spacing w:line="264" w:lineRule="auto"/>
        <w:ind w:left="426" w:hanging="426"/>
        <w:rPr>
          <w:sz w:val="22"/>
          <w:szCs w:val="22"/>
        </w:rPr>
      </w:pPr>
      <w:r w:rsidRPr="00551104">
        <w:rPr>
          <w:sz w:val="22"/>
          <w:szCs w:val="22"/>
        </w:rPr>
        <w:t>V súlade s článkom 4 Rozhodnutia  komisie, sa zveruje touto  Zmluvou o poskytnutí NFP Prijímateľovi v súvislosti s realizáciou Projektu, poskytovanie služby všeobecného hospodárskeho záujmu, ktorá sa vymedzuje nasledovne:</w:t>
      </w:r>
    </w:p>
    <w:p w14:paraId="30E23C9A" w14:textId="77777777" w:rsidR="00CD7345" w:rsidRPr="00551104" w:rsidRDefault="00CD7345" w:rsidP="00CD7345">
      <w:pPr>
        <w:pStyle w:val="Zarkazkladnhotextu2"/>
        <w:numPr>
          <w:ilvl w:val="0"/>
          <w:numId w:val="100"/>
        </w:numPr>
        <w:tabs>
          <w:tab w:val="num" w:pos="709"/>
        </w:tabs>
        <w:spacing w:line="264" w:lineRule="auto"/>
        <w:ind w:left="709" w:hanging="283"/>
        <w:rPr>
          <w:sz w:val="22"/>
          <w:szCs w:val="22"/>
        </w:rPr>
      </w:pPr>
      <w:r w:rsidRPr="00551104">
        <w:rPr>
          <w:sz w:val="22"/>
          <w:szCs w:val="22"/>
          <w:u w:val="single"/>
        </w:rPr>
        <w:t>Charakter služby všeobecného hospodárskeho záujmu</w:t>
      </w:r>
      <w:r w:rsidRPr="00551104">
        <w:rPr>
          <w:sz w:val="22"/>
          <w:szCs w:val="22"/>
        </w:rPr>
        <w:t xml:space="preserve">: </w:t>
      </w:r>
    </w:p>
    <w:p w14:paraId="723BB104" w14:textId="77777777" w:rsidR="00CD7345" w:rsidRPr="00551104" w:rsidRDefault="00CD7345" w:rsidP="00CD7345">
      <w:pPr>
        <w:spacing w:after="120"/>
        <w:ind w:left="426"/>
        <w:jc w:val="both"/>
        <w:rPr>
          <w:sz w:val="22"/>
          <w:szCs w:val="22"/>
        </w:rPr>
      </w:pPr>
      <w:r w:rsidRPr="00551104">
        <w:rPr>
          <w:sz w:val="22"/>
          <w:szCs w:val="22"/>
          <w:u w:val="single"/>
        </w:rPr>
        <w:t>Za službu všeobecného hospodárskeho záujmu (SVHZ)</w:t>
      </w:r>
      <w:r w:rsidRPr="00551104">
        <w:rPr>
          <w:sz w:val="22"/>
          <w:szCs w:val="22"/>
        </w:rPr>
        <w:t xml:space="preserve"> sa týmto určuje sociálna služba vykonávaná v zmysle ustanovení zákona </w:t>
      </w:r>
      <w:r w:rsidRPr="00551104">
        <w:rPr>
          <w:bCs/>
          <w:color w:val="000000"/>
          <w:sz w:val="22"/>
          <w:szCs w:val="22"/>
          <w:shd w:val="clear" w:color="auto" w:fill="FFFFFF"/>
        </w:rPr>
        <w:t>č. 448/2008 o sociálnych službách a o zmene a doplnení zákona č. 455/1991 Zb. o živnostenskom podnikaní (živnostenský zákon) v znení neskorších predpisov</w:t>
      </w:r>
      <w:r w:rsidRPr="00551104">
        <w:rPr>
          <w:sz w:val="22"/>
          <w:szCs w:val="22"/>
        </w:rPr>
        <w:t>, (ďalej len „</w:t>
      </w:r>
      <w:r w:rsidRPr="00551104">
        <w:rPr>
          <w:b/>
          <w:i/>
          <w:sz w:val="22"/>
          <w:szCs w:val="22"/>
        </w:rPr>
        <w:t xml:space="preserve">Zákon č. 448/2008 </w:t>
      </w:r>
      <w:r w:rsidRPr="00551104">
        <w:rPr>
          <w:sz w:val="22"/>
          <w:szCs w:val="22"/>
        </w:rPr>
        <w:t xml:space="preserve">“), ktorou je opatrovateľská služba podľa ustanovení </w:t>
      </w:r>
      <w:r w:rsidRPr="00551104">
        <w:rPr>
          <w:bCs/>
          <w:color w:val="000000"/>
          <w:sz w:val="22"/>
          <w:szCs w:val="22"/>
          <w:shd w:val="clear" w:color="auto" w:fill="FFFFFF"/>
        </w:rPr>
        <w:t>§ 12 odsek 1 písm. c) bod 2; § 13 odsek 3 a § 41</w:t>
      </w:r>
      <w:r w:rsidRPr="00551104">
        <w:rPr>
          <w:sz w:val="22"/>
          <w:szCs w:val="22"/>
        </w:rPr>
        <w:t xml:space="preserve">.  </w:t>
      </w:r>
    </w:p>
    <w:p w14:paraId="7702D4D2" w14:textId="77777777" w:rsidR="00CD7345" w:rsidRPr="00551104" w:rsidRDefault="00CD7345" w:rsidP="00CD7345">
      <w:pPr>
        <w:pStyle w:val="Zarkazkladnhotextu2"/>
        <w:tabs>
          <w:tab w:val="num" w:pos="709"/>
        </w:tabs>
        <w:spacing w:line="264" w:lineRule="auto"/>
        <w:ind w:left="709" w:firstLine="0"/>
        <w:rPr>
          <w:sz w:val="22"/>
          <w:szCs w:val="22"/>
        </w:rPr>
      </w:pPr>
      <w:r w:rsidRPr="00551104">
        <w:rPr>
          <w:sz w:val="22"/>
          <w:szCs w:val="22"/>
        </w:rPr>
        <w:t xml:space="preserve"> </w:t>
      </w:r>
    </w:p>
    <w:p w14:paraId="42AB6B8F" w14:textId="77777777" w:rsidR="00CD7345" w:rsidRPr="00551104" w:rsidRDefault="00CD7345" w:rsidP="00CD7345">
      <w:pPr>
        <w:pStyle w:val="Zarkazkladnhotextu2"/>
        <w:tabs>
          <w:tab w:val="num" w:pos="709"/>
        </w:tabs>
        <w:spacing w:line="264" w:lineRule="auto"/>
        <w:ind w:left="709" w:firstLine="0"/>
        <w:rPr>
          <w:sz w:val="22"/>
          <w:szCs w:val="22"/>
        </w:rPr>
      </w:pPr>
      <w:r w:rsidRPr="00551104">
        <w:rPr>
          <w:sz w:val="22"/>
          <w:szCs w:val="22"/>
        </w:rPr>
        <w:t xml:space="preserve">Podľa Zákona č. 448/2008 sa opatrovateľská služba v domácom prostredí poskytuje fyzickým osobám, ktoré sú z dôvodu svojho veku, pre ťažké zdravotné postihnutie alebo nepriaznivý zdravotný stav odkázané na pomoc inej osoby pri každodenných aktivitách, </w:t>
      </w:r>
      <w:proofErr w:type="spellStart"/>
      <w:r w:rsidRPr="00551104">
        <w:rPr>
          <w:sz w:val="22"/>
          <w:szCs w:val="22"/>
        </w:rPr>
        <w:t>t.j</w:t>
      </w:r>
      <w:proofErr w:type="spellEnd"/>
      <w:r w:rsidRPr="00551104">
        <w:rPr>
          <w:sz w:val="22"/>
          <w:szCs w:val="22"/>
        </w:rPr>
        <w:t xml:space="preserve">. podporuje sa tým zotrvania klienta vo svojom prirodzenom domácom prostredí a zníženie dopytu po inštitucionálnej starostlivosti. Každý občan, ktorý splní podmienky - má právoplatné Rozhodnutie obce o odkázanosti na domácu opatrovateľskú službu, t. j. je odkázaný na pomoc inej fyzickej osoby minimálne v stupni II., má právo požiadať príslušnú obec, v ktorej má trvalý pobyt, o poskytnutie alebo zabezpečenie domácej opatrovateľskej služby, a to prostredníctvom verejného alebo neverejného poskytovateľa na základe informovaného výberu  poskytovateľa zo strany tohto občana. </w:t>
      </w:r>
    </w:p>
    <w:p w14:paraId="454A1CBF" w14:textId="77777777" w:rsidR="00CD7345" w:rsidRPr="00551104" w:rsidRDefault="00CD7345" w:rsidP="00CD7345">
      <w:pPr>
        <w:pStyle w:val="Zarkazkladnhotextu2"/>
        <w:tabs>
          <w:tab w:val="num" w:pos="709"/>
        </w:tabs>
        <w:spacing w:line="264" w:lineRule="auto"/>
        <w:ind w:left="709" w:firstLine="0"/>
        <w:rPr>
          <w:sz w:val="22"/>
          <w:szCs w:val="22"/>
        </w:rPr>
      </w:pPr>
      <w:r w:rsidRPr="00551104">
        <w:rPr>
          <w:sz w:val="22"/>
          <w:szCs w:val="22"/>
        </w:rPr>
        <w:t xml:space="preserve">Účelom opatrovateľskej služby je ochrana pred sociálnym vylúčením a podpora spoločenského začlenenia a zabezpečenie základných ľudských práv - ochrany života a zdravia a zabezpečenie dôstojnosti a integrity jednotlivca - fyzickej osoby – opatrovateľská služba je </w:t>
      </w:r>
      <w:proofErr w:type="spellStart"/>
      <w:r w:rsidRPr="00551104">
        <w:rPr>
          <w:sz w:val="22"/>
          <w:szCs w:val="22"/>
        </w:rPr>
        <w:t>personalizovaná</w:t>
      </w:r>
      <w:proofErr w:type="spellEnd"/>
      <w:r w:rsidRPr="00551104">
        <w:rPr>
          <w:sz w:val="22"/>
          <w:szCs w:val="22"/>
        </w:rPr>
        <w:t xml:space="preserve"> a komplexná (úkony sebaobsluhy, úkony starostlivosti o domácnosť, základné sociálne aktivity, dohľad pri úkonoch sebaobsluhy, úkonoch starostlivosti o domácnosť a pri vykonávaní základných sociálnych aktivít  v zmysle § 2, § 41, príloha č. 4 zákona č. 448/2008).</w:t>
      </w:r>
    </w:p>
    <w:p w14:paraId="473DB662" w14:textId="77777777" w:rsidR="00CD7345" w:rsidRPr="00551104" w:rsidRDefault="00CD7345" w:rsidP="00CD7345">
      <w:pPr>
        <w:pStyle w:val="Zarkazkladnhotextu2"/>
        <w:numPr>
          <w:ilvl w:val="0"/>
          <w:numId w:val="100"/>
        </w:numPr>
        <w:tabs>
          <w:tab w:val="num" w:pos="709"/>
        </w:tabs>
        <w:spacing w:line="264" w:lineRule="auto"/>
        <w:ind w:left="709" w:hanging="283"/>
        <w:rPr>
          <w:sz w:val="22"/>
          <w:szCs w:val="22"/>
          <w:u w:val="single"/>
        </w:rPr>
      </w:pPr>
      <w:r w:rsidRPr="00551104">
        <w:rPr>
          <w:sz w:val="22"/>
          <w:szCs w:val="22"/>
          <w:u w:val="single"/>
        </w:rPr>
        <w:t>Obsah záväzku služby vo všeobecnom hospodárskom záujme</w:t>
      </w:r>
    </w:p>
    <w:p w14:paraId="258AB621" w14:textId="77777777" w:rsidR="00CD7345" w:rsidRPr="00551104" w:rsidRDefault="00CD7345" w:rsidP="00CD7345">
      <w:pPr>
        <w:pStyle w:val="Zarkazkladnhotextu2"/>
        <w:tabs>
          <w:tab w:val="num" w:pos="426"/>
        </w:tabs>
        <w:spacing w:line="264" w:lineRule="auto"/>
        <w:ind w:left="709" w:firstLine="0"/>
        <w:rPr>
          <w:color w:val="000000"/>
          <w:sz w:val="22"/>
          <w:szCs w:val="22"/>
        </w:rPr>
      </w:pPr>
      <w:r w:rsidRPr="00551104">
        <w:rPr>
          <w:color w:val="000000"/>
          <w:sz w:val="22"/>
          <w:szCs w:val="22"/>
        </w:rPr>
        <w:t xml:space="preserve">Obsah záväzku služby všeobecného hospodárskeho záujmu vymedzuje príslušné </w:t>
      </w:r>
      <w:r w:rsidRPr="00551104">
        <w:rPr>
          <w:sz w:val="22"/>
          <w:szCs w:val="22"/>
        </w:rPr>
        <w:t>Rozhodnutie obce o odkázanosti na domácu opatrovateľskú službu.</w:t>
      </w:r>
    </w:p>
    <w:p w14:paraId="5579D260" w14:textId="77777777" w:rsidR="00CD7345" w:rsidRPr="00551104" w:rsidRDefault="00CD7345" w:rsidP="00CD7345">
      <w:pPr>
        <w:pStyle w:val="Zarkazkladnhotextu2"/>
        <w:spacing w:line="264" w:lineRule="auto"/>
        <w:ind w:left="709" w:firstLine="0"/>
        <w:rPr>
          <w:sz w:val="22"/>
          <w:szCs w:val="22"/>
        </w:rPr>
      </w:pPr>
      <w:r w:rsidRPr="00551104">
        <w:rPr>
          <w:color w:val="000000"/>
          <w:sz w:val="22"/>
          <w:szCs w:val="22"/>
        </w:rPr>
        <w:t xml:space="preserve">Prijímateľ sa zaväzuje v súvislosti s realizáciou aktivít Projektu, ktorý je predmetom Schválenej žiadosti o NFP a v súlade s touto zmluvou poskytovať službu všeobecného hospodárskeho záujmu </w:t>
      </w:r>
      <w:r w:rsidRPr="00551104">
        <w:rPr>
          <w:sz w:val="22"/>
          <w:szCs w:val="22"/>
        </w:rPr>
        <w:t>v rozsahu vyplývajúceho z Rozhodnutia obce o odkázanosti na domácu opatrovateľskú službu</w:t>
      </w:r>
      <w:r w:rsidRPr="00551104">
        <w:rPr>
          <w:color w:val="000000"/>
          <w:sz w:val="22"/>
          <w:szCs w:val="22"/>
        </w:rPr>
        <w:t xml:space="preserve">, tzn. sociálnu službu v súlade so zákonom č. 448/2008 a podmienkami </w:t>
      </w:r>
      <w:r w:rsidRPr="00551104">
        <w:rPr>
          <w:sz w:val="22"/>
          <w:szCs w:val="22"/>
        </w:rPr>
        <w:t xml:space="preserve">formou opatrovateľskej služby. </w:t>
      </w:r>
    </w:p>
    <w:p w14:paraId="3D88842B" w14:textId="77777777" w:rsidR="00CD7345" w:rsidRPr="00551104" w:rsidRDefault="00CD7345" w:rsidP="00CD7345">
      <w:pPr>
        <w:pStyle w:val="Zarkazkladnhotextu2"/>
        <w:spacing w:line="264" w:lineRule="auto"/>
        <w:ind w:left="709" w:firstLine="0"/>
        <w:rPr>
          <w:sz w:val="22"/>
          <w:szCs w:val="22"/>
        </w:rPr>
      </w:pPr>
      <w:r w:rsidRPr="00551104">
        <w:rPr>
          <w:sz w:val="22"/>
          <w:szCs w:val="22"/>
        </w:rPr>
        <w:lastRenderedPageBreak/>
        <w:t xml:space="preserve">Prijímateľ sa zaväzuje, že výsledkom realizácie aktivít Projektu, ktorý je predmetom Schválenej žiadosti o NFP, bude opatrovateľská služba poskytovaná fyzickým osobám, ktoré sú z dôvodu svojho veku, pre ťažké zdravotné postihnutie alebo nepriaznivý zdravotný stav odkázané na pomoc inej osoby pri každodenných aktivitách.  </w:t>
      </w:r>
    </w:p>
    <w:p w14:paraId="3943308D" w14:textId="77777777" w:rsidR="00CD7345" w:rsidRPr="00551104" w:rsidRDefault="00CD7345" w:rsidP="00CD7345">
      <w:pPr>
        <w:pStyle w:val="Zarkazkladnhotextu2"/>
        <w:numPr>
          <w:ilvl w:val="0"/>
          <w:numId w:val="100"/>
        </w:numPr>
        <w:spacing w:line="264" w:lineRule="auto"/>
        <w:ind w:left="709"/>
        <w:rPr>
          <w:sz w:val="22"/>
          <w:szCs w:val="22"/>
        </w:rPr>
      </w:pPr>
      <w:r w:rsidRPr="00551104">
        <w:rPr>
          <w:sz w:val="22"/>
          <w:szCs w:val="22"/>
          <w:u w:val="single"/>
        </w:rPr>
        <w:t>Trvanie záväzku služby vo všeobecnom hospodárskom záujme</w:t>
      </w:r>
      <w:r w:rsidRPr="00551104">
        <w:rPr>
          <w:sz w:val="22"/>
          <w:szCs w:val="22"/>
        </w:rPr>
        <w:t xml:space="preserve"> </w:t>
      </w:r>
    </w:p>
    <w:p w14:paraId="61AA5D46" w14:textId="77777777" w:rsidR="00CD7345" w:rsidRPr="00551104" w:rsidRDefault="00CD7345" w:rsidP="00CD7345">
      <w:pPr>
        <w:pStyle w:val="Zarkazkladnhotextu2"/>
        <w:spacing w:line="264" w:lineRule="auto"/>
        <w:ind w:left="709" w:firstLine="0"/>
        <w:rPr>
          <w:sz w:val="22"/>
          <w:szCs w:val="22"/>
        </w:rPr>
      </w:pPr>
      <w:r w:rsidRPr="00551104">
        <w:rPr>
          <w:sz w:val="22"/>
          <w:szCs w:val="22"/>
        </w:rPr>
        <w:t>Obdobie záväzku služby všeobecného hospodárskeho záujmu sa zmluvou stanovuje  na obdo</w:t>
      </w:r>
      <w:r>
        <w:rPr>
          <w:sz w:val="22"/>
          <w:szCs w:val="22"/>
        </w:rPr>
        <w:t>bie realizácie aktivít projektu</w:t>
      </w:r>
      <w:r w:rsidRPr="00551104">
        <w:rPr>
          <w:sz w:val="22"/>
          <w:szCs w:val="22"/>
        </w:rPr>
        <w:t xml:space="preserve">, ktoré je vyšpecifikované v prílohe č. 2 Predmet podpory v časti 5 Hlavné aktivity projektu, a to od </w:t>
      </w:r>
      <w:commentRangeStart w:id="16"/>
      <w:r w:rsidRPr="00551104">
        <w:rPr>
          <w:sz w:val="22"/>
          <w:szCs w:val="22"/>
          <w:highlight w:val="yellow"/>
        </w:rPr>
        <w:t>.............</w:t>
      </w:r>
      <w:commentRangeEnd w:id="16"/>
      <w:r>
        <w:rPr>
          <w:rStyle w:val="Odkaznakomentr"/>
          <w:szCs w:val="20"/>
        </w:rPr>
        <w:commentReference w:id="16"/>
      </w:r>
      <w:r w:rsidRPr="00551104">
        <w:rPr>
          <w:sz w:val="22"/>
          <w:szCs w:val="22"/>
        </w:rPr>
        <w:t xml:space="preserve">, čo predstavuje začiatok realizácie aktivít projektu do </w:t>
      </w:r>
      <w:commentRangeStart w:id="17"/>
      <w:r w:rsidRPr="00551104">
        <w:rPr>
          <w:sz w:val="22"/>
          <w:szCs w:val="22"/>
          <w:highlight w:val="yellow"/>
        </w:rPr>
        <w:t>..................</w:t>
      </w:r>
      <w:commentRangeEnd w:id="17"/>
      <w:r>
        <w:rPr>
          <w:rStyle w:val="Odkaznakomentr"/>
          <w:szCs w:val="20"/>
        </w:rPr>
        <w:commentReference w:id="17"/>
      </w:r>
      <w:r>
        <w:rPr>
          <w:sz w:val="22"/>
          <w:szCs w:val="22"/>
        </w:rPr>
        <w:t xml:space="preserve"> čo predstavuje </w:t>
      </w:r>
      <w:r w:rsidRPr="00551104">
        <w:rPr>
          <w:sz w:val="22"/>
          <w:szCs w:val="22"/>
        </w:rPr>
        <w:t xml:space="preserve">koniec realizácie aktivít projektu.  </w:t>
      </w:r>
    </w:p>
    <w:p w14:paraId="5FC92E47" w14:textId="77777777" w:rsidR="00CD7345" w:rsidRPr="00551104" w:rsidRDefault="00CD7345" w:rsidP="00CD7345">
      <w:pPr>
        <w:pStyle w:val="Zarkazkladnhotextu2"/>
        <w:spacing w:line="264" w:lineRule="auto"/>
        <w:ind w:left="709" w:firstLine="0"/>
        <w:rPr>
          <w:sz w:val="22"/>
          <w:szCs w:val="22"/>
        </w:rPr>
      </w:pPr>
      <w:r w:rsidRPr="00551104">
        <w:rPr>
          <w:sz w:val="22"/>
          <w:szCs w:val="22"/>
        </w:rPr>
        <w:t>Obdobie, na ktoré sa prijímateľ pomoci poveruje poskytovaním SVHZ tak nepresiahne 10 (desať) rokov podľa článku 2 ods. 2 Rozhodnutia Komisie č. 2012/21/EÚ.</w:t>
      </w:r>
    </w:p>
    <w:p w14:paraId="4401508E" w14:textId="77777777" w:rsidR="00CD7345" w:rsidRPr="00551104" w:rsidRDefault="00CD7345" w:rsidP="00CD7345">
      <w:pPr>
        <w:pStyle w:val="Zarkazkladnhotextu2"/>
        <w:numPr>
          <w:ilvl w:val="0"/>
          <w:numId w:val="100"/>
        </w:numPr>
        <w:spacing w:line="264" w:lineRule="auto"/>
        <w:ind w:left="709"/>
        <w:rPr>
          <w:sz w:val="22"/>
          <w:szCs w:val="22"/>
          <w:u w:val="single"/>
        </w:rPr>
      </w:pPr>
      <w:r w:rsidRPr="00551104">
        <w:rPr>
          <w:sz w:val="22"/>
          <w:szCs w:val="22"/>
          <w:u w:val="single"/>
        </w:rPr>
        <w:t xml:space="preserve">Opis mechanizmu náhrad a parametre na výpočet, kontrolu a prehodnocovanie náhrady: </w:t>
      </w:r>
    </w:p>
    <w:p w14:paraId="017C2D9C" w14:textId="77777777" w:rsidR="00CD7345" w:rsidRPr="00551104" w:rsidRDefault="00CD7345" w:rsidP="00CD7345">
      <w:pPr>
        <w:pStyle w:val="Zarkazkladnhotextu2"/>
        <w:spacing w:line="264" w:lineRule="auto"/>
        <w:ind w:left="709" w:firstLine="0"/>
        <w:rPr>
          <w:sz w:val="22"/>
          <w:szCs w:val="22"/>
        </w:rPr>
      </w:pPr>
      <w:r w:rsidRPr="00551104">
        <w:rPr>
          <w:sz w:val="22"/>
          <w:szCs w:val="22"/>
        </w:rPr>
        <w:t xml:space="preserve">Všetky požadované náležitosti sú súčasťou Metodiky pre stanovenie výšky náhrady poskytovanej zo zdrojov EÚ a štátneho rozpočtu SR, ktorá je </w:t>
      </w:r>
      <w:r w:rsidRPr="00A1499C">
        <w:rPr>
          <w:sz w:val="22"/>
          <w:szCs w:val="22"/>
        </w:rPr>
        <w:t>prílohou č. 5</w:t>
      </w:r>
      <w:r w:rsidRPr="00551104">
        <w:rPr>
          <w:sz w:val="22"/>
          <w:szCs w:val="22"/>
        </w:rPr>
        <w:t xml:space="preserve"> Zmluvy o poskytnutí NFP, ako aj Schémy štátnej pomoci </w:t>
      </w:r>
      <w:r w:rsidRPr="00551104">
        <w:rPr>
          <w:i/>
          <w:sz w:val="22"/>
          <w:szCs w:val="22"/>
        </w:rPr>
        <w:t>(Schéma štátnej pomoci na podporu opatrovateľskej služby).</w:t>
      </w:r>
    </w:p>
    <w:p w14:paraId="05156A94" w14:textId="77777777" w:rsidR="00E14170" w:rsidRDefault="00CD7345" w:rsidP="00106808">
      <w:pPr>
        <w:pStyle w:val="Zarkazkladnhotextu2"/>
        <w:numPr>
          <w:ilvl w:val="0"/>
          <w:numId w:val="100"/>
        </w:numPr>
        <w:spacing w:line="264" w:lineRule="auto"/>
        <w:ind w:left="709"/>
        <w:rPr>
          <w:sz w:val="22"/>
          <w:szCs w:val="22"/>
          <w:u w:val="single"/>
        </w:rPr>
      </w:pPr>
      <w:r w:rsidRPr="00551104">
        <w:rPr>
          <w:sz w:val="22"/>
          <w:szCs w:val="22"/>
          <w:u w:val="single"/>
        </w:rPr>
        <w:t xml:space="preserve">Opatrenia spojené s predchádzaním a vznikom Nadmernej náhrady a na vrátenie takejto Nadmernej náhrady: </w:t>
      </w:r>
    </w:p>
    <w:p w14:paraId="65C0EBCA" w14:textId="21A65EF9" w:rsidR="00CD7345" w:rsidRPr="00106808" w:rsidRDefault="00CD7345" w:rsidP="00106808">
      <w:pPr>
        <w:pStyle w:val="Zarkazkladnhotextu2"/>
        <w:spacing w:line="264" w:lineRule="auto"/>
        <w:ind w:left="709" w:firstLine="0"/>
        <w:rPr>
          <w:sz w:val="22"/>
          <w:szCs w:val="22"/>
          <w:u w:val="single"/>
        </w:rPr>
      </w:pPr>
      <w:r w:rsidRPr="00106808">
        <w:rPr>
          <w:sz w:val="22"/>
          <w:szCs w:val="22"/>
        </w:rPr>
        <w:t>Pri  kontrole výšky Náhrady sa postupuje podľa Metodiky pre stanovenie výšky náhrady poskytovanej zo zdrojov EÚ a štátneho rozpočtu SR, ktorá je prílohou č. 5 Zmluvy o poskytnutí NFP, ako aj Schémy štátnej pomoci (</w:t>
      </w:r>
      <w:r w:rsidRPr="00106808">
        <w:rPr>
          <w:i/>
          <w:sz w:val="22"/>
          <w:szCs w:val="22"/>
        </w:rPr>
        <w:t>Schéma štátnej pomoci na podporu opatrovateľskej služby</w:t>
      </w:r>
      <w:r w:rsidRPr="00E14170">
        <w:rPr>
          <w:sz w:val="22"/>
          <w:szCs w:val="22"/>
        </w:rPr>
        <w:t>) v súlade s Rozhodnutím komisie. V prípade, ak bola Prijímateľovi pomoci poskytnutá nadmerná náhrada, Poskytovateľ požiada Prijímateľa pomoci o vrátenie celej výšky nadmerne poskytnutej náhrady, ktorú je prijímateľ pomoci povinný v zmysle článku P. Transparentnosť a monitorovanie, bod. 7 schémy pomoci vrátiť poskytovateľovi NFP, alebo v prípade zistenia Nadmernej náhrady Poskytovateľ pristúpi k zníženiu výšky NFP v rámci záverečnej platby.</w:t>
      </w:r>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32B16397"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 xml:space="preserve">mluvné strany sa dohodli na nasledovných podmienkach zmeny Zmluvy o poskytnutí NFP, a to s ohľadom na hospodárnosť a efektívnosť zmenového procesu, avšak aj s ohľadom na skutočnosť, </w:t>
      </w:r>
      <w:r w:rsidR="005E3FE9" w:rsidRPr="00B14C09">
        <w:rPr>
          <w:sz w:val="22"/>
        </w:rPr>
        <w:lastRenderedPageBreak/>
        <w:t>že Zmluva o poskytnutí NFP je, tzv. povinne zverejňovanou zmluvou v zmysle § 5a zákona č. 211/2000 Z. z. o slobodnom prístupe k</w:t>
      </w:r>
      <w:r w:rsidR="00DD5FBC">
        <w:rPr>
          <w:sz w:val="22"/>
        </w:rPr>
        <w:t> </w:t>
      </w:r>
      <w:r w:rsidR="005E3FE9" w:rsidRPr="00B14C09">
        <w:rPr>
          <w:sz w:val="22"/>
        </w:rPr>
        <w:t>informáciám</w:t>
      </w:r>
      <w:r w:rsidR="00DD5FBC">
        <w:rPr>
          <w:sz w:val="22"/>
        </w:rPr>
        <w:t xml:space="preserve"> </w:t>
      </w:r>
      <w:r w:rsidR="00DD5FBC" w:rsidRPr="00FB3D6B">
        <w:rPr>
          <w:sz w:val="22"/>
          <w:szCs w:val="22"/>
        </w:rPr>
        <w:t>a o zmene a doplnení niektorých zákonov (zákon o slobode informácií)</w:t>
      </w:r>
      <w:r w:rsidR="005E3FE9" w:rsidRPr="00B14C09">
        <w:rPr>
          <w:sz w:val="22"/>
        </w:rPr>
        <w:t xml:space="preserve"> v znení neskorších predpisov (ďalej ako „</w:t>
      </w:r>
      <w:r w:rsidR="005E3FE9" w:rsidRPr="00D901D6">
        <w:rPr>
          <w:sz w:val="22"/>
          <w:szCs w:val="22"/>
        </w:rPr>
        <w:t>zákon 211/2000</w:t>
      </w:r>
      <w:r w:rsidR="00DD5FBC">
        <w:rPr>
          <w:sz w:val="22"/>
          <w:szCs w:val="22"/>
        </w:rPr>
        <w:t xml:space="preserve"> Z. z.</w:t>
      </w:r>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 xml:space="preserve">Poskytovateľ je oprávnený neakceptovať oznámenie Prijímateľa, ak toto svoje </w:t>
      </w:r>
      <w:r w:rsidRPr="00B14C09">
        <w:rPr>
          <w:sz w:val="22"/>
        </w:rPr>
        <w:lastRenderedPageBreak/>
        <w:t>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18"/>
      <w:r w:rsidRPr="00B14C09">
        <w:rPr>
          <w:sz w:val="22"/>
        </w:rPr>
        <w:t>pri najbližšom písomnom dodatku k Zmluve o poskytnutí NFP</w:t>
      </w:r>
      <w:commentRangeEnd w:id="18"/>
      <w:r w:rsidRPr="00D901D6">
        <w:rPr>
          <w:rStyle w:val="Odkaznakomentr"/>
          <w:sz w:val="22"/>
          <w:szCs w:val="22"/>
        </w:rPr>
        <w:commentReference w:id="18"/>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t xml:space="preserve">(i) omeškanie </w:t>
      </w:r>
      <w:r w:rsidR="00171424" w:rsidRPr="00B14C09">
        <w:rPr>
          <w:sz w:val="22"/>
        </w:rPr>
        <w:t xml:space="preserve">Prijímateľa so </w:t>
      </w:r>
      <w:commentRangeStart w:id="19"/>
      <w:commentRangeStart w:id="20"/>
      <w:r w:rsidR="00171424" w:rsidRPr="00B14C09">
        <w:rPr>
          <w:sz w:val="22"/>
        </w:rPr>
        <w:t xml:space="preserve">Začatím realizácie hlavných aktivít Projektu </w:t>
      </w:r>
      <w:commentRangeEnd w:id="19"/>
      <w:commentRangeEnd w:id="20"/>
      <w:r w:rsidRPr="0017171B">
        <w:rPr>
          <w:rStyle w:val="Odkaznakomentr"/>
          <w:sz w:val="24"/>
        </w:rPr>
        <w:commentReference w:id="19"/>
      </w:r>
      <w:r w:rsidR="00171424" w:rsidRPr="00D901D6">
        <w:rPr>
          <w:rStyle w:val="Odkaznakomentr"/>
          <w:sz w:val="22"/>
          <w:szCs w:val="22"/>
        </w:rPr>
        <w:commentReference w:id="20"/>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1D37B590"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r w:rsidR="002104A2" w:rsidRPr="00111B98">
        <w:rPr>
          <w:sz w:val="22"/>
          <w:szCs w:val="22"/>
        </w:rPr>
        <w:t xml:space="preserve">zmena projektovej alebo inej podkladovej dokumentácie vo vzťahu k Projektu, </w:t>
      </w:r>
      <w:r w:rsidR="002104A2" w:rsidRPr="00111B98">
        <w:rPr>
          <w:sz w:val="22"/>
          <w:szCs w:val="22"/>
          <w:u w:val="single"/>
        </w:rPr>
        <w:t>ktorá nemá vplyv na rozpočet Projektu</w:t>
      </w:r>
      <w:r w:rsidR="002104A2" w:rsidRPr="00111B98">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(v) odchýlky v rozpočte Projektu týkajúcej sa Oprávnených výdavkov výlučne v prípade, ak ide o zníženie výšky Oprávnených výdavkov a takéto zníženie nemá vplyv na dosiahnutie cieľa 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21"/>
      <w:r w:rsidR="00393CCA" w:rsidRPr="00D901D6">
        <w:rPr>
          <w:bCs/>
          <w:sz w:val="22"/>
          <w:szCs w:val="22"/>
        </w:rPr>
        <w:t>uvedené sa netýka zníženia hodnoty Vecného príspevku.</w:t>
      </w:r>
      <w:commentRangeEnd w:id="21"/>
      <w:r w:rsidR="00393CCA" w:rsidRPr="00D901D6">
        <w:rPr>
          <w:rStyle w:val="Odkaznakomentr"/>
          <w:sz w:val="22"/>
          <w:szCs w:val="22"/>
        </w:rPr>
        <w:commentReference w:id="21"/>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lastRenderedPageBreak/>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22"/>
      <w:r w:rsidRPr="00B14C09">
        <w:rPr>
          <w:sz w:val="22"/>
        </w:rPr>
        <w:t>týkajúcu sa predĺženia Realizácie hlavných aktivít Projektu oproti termínom vyplývajúcim z Prílohy č. 2 Zmluvy o poskytnutí NFP,</w:t>
      </w:r>
      <w:commentRangeEnd w:id="22"/>
      <w:r w:rsidRPr="00D901D6">
        <w:rPr>
          <w:rStyle w:val="Odkaznakomentr"/>
          <w:sz w:val="22"/>
          <w:szCs w:val="22"/>
        </w:rPr>
        <w:commentReference w:id="22"/>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lastRenderedPageBreak/>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hodnoty 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w:t>
      </w:r>
      <w:r w:rsidRPr="00D901D6">
        <w:rPr>
          <w:sz w:val="22"/>
          <w:szCs w:val="22"/>
        </w:rPr>
        <w:lastRenderedPageBreak/>
        <w:t xml:space="preserve">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rsidP="00A453CB">
      <w:pPr>
        <w:tabs>
          <w:tab w:val="left" w:pos="6480"/>
        </w:tabs>
        <w:spacing w:before="120" w:line="276" w:lineRule="auto"/>
        <w:ind w:left="360"/>
        <w:jc w:val="both"/>
        <w:rPr>
          <w:sz w:val="22"/>
        </w:rPr>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 xml:space="preserve">(ii) Poskytovateľ poskytne Prijímateľovi dodatočnú lehotu nie kratšiu ako 20 dní na Začatie realizácie hlavných aktivít Projektu, ak by doba medzi uplynutím doby troch mesiacov od </w:t>
      </w:r>
      <w:r w:rsidRPr="00B14C09">
        <w:rPr>
          <w:sz w:val="22"/>
        </w:rPr>
        <w:lastRenderedPageBreak/>
        <w:t>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23"/>
      <w:r w:rsidRPr="00B14C09">
        <w:rPr>
          <w:sz w:val="22"/>
        </w:rPr>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23"/>
      <w:r w:rsidRPr="00D901D6">
        <w:rPr>
          <w:rStyle w:val="Odkaznakomentr"/>
          <w:sz w:val="22"/>
          <w:szCs w:val="22"/>
        </w:rPr>
        <w:commentReference w:id="23"/>
      </w:r>
    </w:p>
    <w:p w14:paraId="3808B188" w14:textId="7D3D129A"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lastRenderedPageBreak/>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w:t>
      </w:r>
      <w:r w:rsidR="00CE15AE" w:rsidRPr="00901E68">
        <w:rPr>
          <w:sz w:val="22"/>
          <w:szCs w:val="22"/>
        </w:rPr>
        <w:t>o finančnej kontrole a audite a o zmene a doplnení niektorých zákonov (ďalej len "zákon o finančnej kontrole a audite")</w:t>
      </w:r>
      <w:r w:rsidR="00CE15AE">
        <w:rPr>
          <w:sz w:val="22"/>
          <w:szCs w:val="22"/>
        </w:rPr>
        <w:t xml:space="preserve"> </w:t>
      </w:r>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24"/>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24"/>
      <w:r w:rsidRPr="00D901D6">
        <w:rPr>
          <w:rStyle w:val="Odkaznakomentr"/>
          <w:sz w:val="22"/>
          <w:szCs w:val="22"/>
        </w:rPr>
        <w:commentReference w:id="24"/>
      </w:r>
      <w:r w:rsidRPr="00B14C09">
        <w:rPr>
          <w:sz w:val="22"/>
        </w:rPr>
        <w:t xml:space="preserve">. Súčasťou žiadosti o zmenu v tomto 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r w:rsidR="00CE15AE">
        <w:t xml:space="preserve"> </w:t>
      </w:r>
      <w:r w:rsidR="00CE15AE" w:rsidRPr="006A0A38">
        <w:rPr>
          <w:rFonts w:eastAsia="Times New Roman"/>
          <w:lang w:eastAsia="sk-SK"/>
        </w:rPr>
        <w:t>o verejnom obstarávaní a o zmene a doplnení niektorých zákonov  (ďalej len "zákon č. 25/2006 Z. z."),</w:t>
      </w:r>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w:t>
      </w:r>
      <w:r w:rsidRPr="00B14C09">
        <w:rPr>
          <w:sz w:val="22"/>
        </w:rPr>
        <w:lastRenderedPageBreak/>
        <w:t>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82EC553"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lastRenderedPageBreak/>
        <w:t>ZÁVEREČNÉ USTANOVENIA</w:t>
      </w:r>
    </w:p>
    <w:p w14:paraId="54A463FC" w14:textId="77777777" w:rsidR="00CE6C35" w:rsidRPr="00B14C09" w:rsidRDefault="00CE6C35" w:rsidP="00B14C09">
      <w:pPr>
        <w:spacing w:line="276" w:lineRule="auto"/>
        <w:rPr>
          <w:sz w:val="22"/>
        </w:rPr>
      </w:pPr>
    </w:p>
    <w:p w14:paraId="419CA193" w14:textId="32D8B426"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dňom neskoršieho podpisu Zmluvných strán a </w:t>
      </w:r>
      <w:r w:rsidR="00170204" w:rsidRPr="00B14C09">
        <w:rPr>
          <w:sz w:val="22"/>
        </w:rPr>
        <w:t>účinnosť v súlade s § 47a</w:t>
      </w:r>
      <w:r w:rsidRPr="00B14C09">
        <w:rPr>
          <w:sz w:val="22"/>
        </w:rPr>
        <w:t xml:space="preserve"> Občianskeho zákonníka nadobúda kalendárnym dňom nasledujúcim po dni jej zverejnenia Poskytovateľom v Centrálnom registri zmlúv. Ak Poskytovateľ aj Prijímateľ sú obaja povinnými osobami podľa zákona č. 211/2000 Z.</w:t>
      </w:r>
      <w:r w:rsidR="00CE15AE">
        <w:rPr>
          <w:sz w:val="22"/>
        </w:rPr>
        <w:t xml:space="preserve"> </w:t>
      </w:r>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2AFF8E1D" w:rsidR="00CE6C35" w:rsidRPr="00B14C09" w:rsidRDefault="00CE6C35" w:rsidP="00B14C09">
      <w:pPr>
        <w:spacing w:before="120" w:line="276" w:lineRule="auto"/>
        <w:ind w:left="1800" w:hanging="360"/>
        <w:jc w:val="both"/>
        <w:rPr>
          <w:sz w:val="22"/>
        </w:rPr>
      </w:pPr>
      <w:r w:rsidRPr="00B14C09">
        <w:rPr>
          <w:sz w:val="22"/>
        </w:rPr>
        <w:t>(ii) platnosť a účinnosť článku 10 VZP v súvislosti s vymáhaním štátnej pomoci</w:t>
      </w:r>
      <w:r w:rsidR="00CE15AE">
        <w:rPr>
          <w:sz w:val="22"/>
        </w:rPr>
        <w:t xml:space="preserve"> </w:t>
      </w:r>
      <w:r w:rsidR="00CE15AE">
        <w:rPr>
          <w:sz w:val="22"/>
          <w:szCs w:val="22"/>
        </w:rPr>
        <w:t>poskytnutej v rozpore s uplatniteľnými pravidlami vyplývajúcimi z právnych predpisov SR a právnych aktov EÚ</w:t>
      </w:r>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lastRenderedPageBreak/>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lastRenderedPageBreak/>
        <w:t>Prílohy:</w:t>
      </w:r>
    </w:p>
    <w:p w14:paraId="78E7A7DB" w14:textId="77777777" w:rsidR="00FD4919" w:rsidRPr="00B14C09" w:rsidRDefault="00FD4919" w:rsidP="00FD4919">
      <w:pPr>
        <w:spacing w:before="120" w:line="276" w:lineRule="auto"/>
        <w:jc w:val="both"/>
        <w:rPr>
          <w:sz w:val="22"/>
          <w:u w:val="single"/>
        </w:rPr>
      </w:pPr>
    </w:p>
    <w:p w14:paraId="41FF6607" w14:textId="1F6921B4" w:rsidR="00FD4919" w:rsidRDefault="00CE6C35" w:rsidP="00DE31AC">
      <w:pPr>
        <w:tabs>
          <w:tab w:val="left" w:pos="1843"/>
        </w:tabs>
        <w:spacing w:line="276" w:lineRule="auto"/>
        <w:ind w:left="1843" w:hanging="1486"/>
        <w:jc w:val="both"/>
      </w:pPr>
      <w:r w:rsidRPr="00B14C09">
        <w:rPr>
          <w:sz w:val="22"/>
        </w:rPr>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25"/>
      <w:r w:rsidR="00FD4919">
        <w:rPr>
          <w:sz w:val="22"/>
          <w:szCs w:val="22"/>
        </w:rPr>
        <w:t>.....</w:t>
      </w:r>
      <w:commentRangeEnd w:id="25"/>
      <w:r w:rsidR="00FD4919">
        <w:rPr>
          <w:rStyle w:val="Odkaznakomentr"/>
        </w:rPr>
        <w:commentReference w:id="25"/>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26"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27"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27"/>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28"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28"/>
      <w:r w:rsidRPr="00B14C09">
        <w:rPr>
          <w:sz w:val="22"/>
        </w:rPr>
        <w:t xml:space="preserve">, dňa </w:t>
      </w:r>
      <w:bookmarkStart w:id="29"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29"/>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26"/>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7"/>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4"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6"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5"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7" w:author="Autor" w:initials="A">
    <w:p w14:paraId="50185DC8" w14:textId="77777777" w:rsidR="007C032E" w:rsidRDefault="007C032E" w:rsidP="00811145">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9"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8"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10"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11"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12"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13"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4"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15" w:author="bezakova" w:date="2018-06-25T17:10:00Z" w:initials="b">
    <w:p w14:paraId="42B759E1" w14:textId="77777777" w:rsidR="007C032E" w:rsidRDefault="007C032E"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16" w:author="Bezáková Lucia" w:date="2019-06-19T14:39:00Z" w:initials="BL">
    <w:p w14:paraId="14DA6BE4" w14:textId="77777777" w:rsidR="00CD7345" w:rsidRDefault="00CD7345" w:rsidP="00CD7345">
      <w:pPr>
        <w:pStyle w:val="Textkomentra"/>
      </w:pPr>
      <w:r>
        <w:rPr>
          <w:rStyle w:val="Odkaznakomentr"/>
        </w:rPr>
        <w:annotationRef/>
      </w:r>
      <w:r>
        <w:t>doplniť</w:t>
      </w:r>
    </w:p>
  </w:comment>
  <w:comment w:id="17" w:author="Bezáková Lucia" w:date="2019-06-19T14:39:00Z" w:initials="BL">
    <w:p w14:paraId="1A69D80E" w14:textId="77777777" w:rsidR="00CD7345" w:rsidRDefault="00CD7345" w:rsidP="00CD7345">
      <w:pPr>
        <w:pStyle w:val="Textkomentra"/>
      </w:pPr>
      <w:r>
        <w:rPr>
          <w:rStyle w:val="Odkaznakomentr"/>
        </w:rPr>
        <w:annotationRef/>
      </w:r>
      <w:r>
        <w:t>doplniť</w:t>
      </w:r>
    </w:p>
  </w:comment>
  <w:comment w:id="18"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19" w:author="bezakova" w:date="2018-06-25T17:10:00Z" w:initials="b">
    <w:p w14:paraId="11786D63"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20"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21"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22"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23"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24"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25"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10E1ECF1" w15:done="0"/>
  <w15:commentEx w15:paraId="0EF3939F" w15:done="0"/>
  <w15:commentEx w15:paraId="51EAB6B5" w15:done="0"/>
  <w15:commentEx w15:paraId="4FE4FEC9" w15:done="0"/>
  <w15:commentEx w15:paraId="34701472" w15:done="0"/>
  <w15:commentEx w15:paraId="42B759E1" w15:done="0"/>
  <w15:commentEx w15:paraId="14DA6BE4" w15:done="0"/>
  <w15:commentEx w15:paraId="1A69D80E"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A88A" w14:textId="77777777" w:rsidR="001E6613" w:rsidRDefault="001E6613">
      <w:r>
        <w:separator/>
      </w:r>
    </w:p>
  </w:endnote>
  <w:endnote w:type="continuationSeparator" w:id="0">
    <w:p w14:paraId="2A3FB6D0" w14:textId="77777777" w:rsidR="001E6613" w:rsidRDefault="001E6613">
      <w:r>
        <w:continuationSeparator/>
      </w:r>
    </w:p>
  </w:endnote>
  <w:endnote w:type="continuationNotice" w:id="1">
    <w:p w14:paraId="7EB280D3" w14:textId="77777777" w:rsidR="001E6613" w:rsidRDefault="001E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A453CB">
      <w:rPr>
        <w:rStyle w:val="slostrany"/>
        <w:noProof/>
      </w:rPr>
      <w:t>22</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F301" w14:textId="77777777" w:rsidR="001E6613" w:rsidRDefault="001E6613">
      <w:r>
        <w:separator/>
      </w:r>
    </w:p>
  </w:footnote>
  <w:footnote w:type="continuationSeparator" w:id="0">
    <w:p w14:paraId="72E3657E" w14:textId="77777777" w:rsidR="001E6613" w:rsidRDefault="001E6613">
      <w:r>
        <w:continuationSeparator/>
      </w:r>
    </w:p>
  </w:footnote>
  <w:footnote w:type="continuationNotice" w:id="1">
    <w:p w14:paraId="1E1542F0" w14:textId="77777777" w:rsidR="001E6613" w:rsidRDefault="001E6613"/>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69925CD6" w14:textId="77777777" w:rsidR="00CD7345" w:rsidRDefault="00CD7345" w:rsidP="00CD7345">
      <w:pPr>
        <w:pStyle w:val="Textpoznmkypodiarou"/>
      </w:pPr>
      <w:r w:rsidRPr="004C00A5">
        <w:rPr>
          <w:rStyle w:val="Odkaznapoznmkupodiarou"/>
        </w:rPr>
        <w:footnoteRef/>
      </w:r>
      <w:r w:rsidRPr="004C00A5">
        <w:t xml:space="preserve"> Ú. v. EÚ L 7, 11.1.2012, str. 3</w:t>
      </w:r>
    </w:p>
  </w:footnote>
  <w:footnote w:id="6">
    <w:p w14:paraId="74DDF4F2" w14:textId="77777777" w:rsidR="007C032E" w:rsidRDefault="007C032E" w:rsidP="00CE6C35">
      <w:pPr>
        <w:pStyle w:val="Textpoznmkypodiarou"/>
      </w:pPr>
      <w:r>
        <w:rPr>
          <w:rStyle w:val="Odkaznapoznmkupodiarou"/>
        </w:rPr>
        <w:footnoteRef/>
      </w:r>
      <w:r>
        <w:t xml:space="preserve"> Ak sa nehodí,  prečiarknite</w:t>
      </w:r>
    </w:p>
  </w:footnote>
  <w:footnote w:id="7">
    <w:p w14:paraId="020ACF3F" w14:textId="77777777" w:rsidR="007C032E" w:rsidRDefault="007C032E"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63B5A43"/>
    <w:multiLevelType w:val="hybridMultilevel"/>
    <w:tmpl w:val="EF0A0B16"/>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9"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6"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7"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FA527D8"/>
    <w:multiLevelType w:val="multilevel"/>
    <w:tmpl w:val="845404C2"/>
    <w:lvl w:ilvl="0">
      <w:start w:val="5"/>
      <w:numFmt w:val="decimal"/>
      <w:lvlText w:val="%1"/>
      <w:lvlJc w:val="left"/>
      <w:pPr>
        <w:ind w:left="360" w:hanging="360"/>
      </w:pPr>
      <w:rPr>
        <w:rFonts w:cs="Times New Roman" w:hint="default"/>
      </w:rPr>
    </w:lvl>
    <w:lvl w:ilvl="1">
      <w:start w:val="6"/>
      <w:numFmt w:val="decimal"/>
      <w:lvlText w:val="%1.%2"/>
      <w:lvlJc w:val="left"/>
      <w:pPr>
        <w:ind w:left="928" w:hanging="36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392" w:hanging="1440"/>
      </w:pPr>
      <w:rPr>
        <w:rFonts w:cs="Times New Roman" w:hint="default"/>
      </w:rPr>
    </w:lvl>
  </w:abstractNum>
  <w:abstractNum w:abstractNumId="59"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6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61"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2"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5"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6"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6"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8"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2"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3"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4"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7"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2"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8"/>
  </w:num>
  <w:num w:numId="2">
    <w:abstractNumId w:val="70"/>
  </w:num>
  <w:num w:numId="3">
    <w:abstractNumId w:val="7"/>
  </w:num>
  <w:num w:numId="4">
    <w:abstractNumId w:val="30"/>
  </w:num>
  <w:num w:numId="5">
    <w:abstractNumId w:val="52"/>
  </w:num>
  <w:num w:numId="6">
    <w:abstractNumId w:val="62"/>
  </w:num>
  <w:num w:numId="7">
    <w:abstractNumId w:val="56"/>
  </w:num>
  <w:num w:numId="8">
    <w:abstractNumId w:val="81"/>
  </w:num>
  <w:num w:numId="9">
    <w:abstractNumId w:val="60"/>
  </w:num>
  <w:num w:numId="10">
    <w:abstractNumId w:val="13"/>
  </w:num>
  <w:num w:numId="11">
    <w:abstractNumId w:val="5"/>
  </w:num>
  <w:num w:numId="12">
    <w:abstractNumId w:val="55"/>
  </w:num>
  <w:num w:numId="13">
    <w:abstractNumId w:val="72"/>
  </w:num>
  <w:num w:numId="14">
    <w:abstractNumId w:val="69"/>
  </w:num>
  <w:num w:numId="15">
    <w:abstractNumId w:val="35"/>
  </w:num>
  <w:num w:numId="16">
    <w:abstractNumId w:val="38"/>
  </w:num>
  <w:num w:numId="17">
    <w:abstractNumId w:val="21"/>
  </w:num>
  <w:num w:numId="18">
    <w:abstractNumId w:val="20"/>
  </w:num>
  <w:num w:numId="19">
    <w:abstractNumId w:val="76"/>
  </w:num>
  <w:num w:numId="20">
    <w:abstractNumId w:val="18"/>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3"/>
  </w:num>
  <w:num w:numId="24">
    <w:abstractNumId w:val="14"/>
  </w:num>
  <w:num w:numId="25">
    <w:abstractNumId w:val="1"/>
  </w:num>
  <w:num w:numId="26">
    <w:abstractNumId w:val="39"/>
  </w:num>
  <w:num w:numId="27">
    <w:abstractNumId w:val="15"/>
  </w:num>
  <w:num w:numId="28">
    <w:abstractNumId w:val="82"/>
  </w:num>
  <w:num w:numId="29">
    <w:abstractNumId w:val="65"/>
  </w:num>
  <w:num w:numId="30">
    <w:abstractNumId w:val="90"/>
  </w:num>
  <w:num w:numId="31">
    <w:abstractNumId w:val="4"/>
  </w:num>
  <w:num w:numId="32">
    <w:abstractNumId w:val="37"/>
  </w:num>
  <w:num w:numId="33">
    <w:abstractNumId w:val="49"/>
  </w:num>
  <w:num w:numId="34">
    <w:abstractNumId w:val="27"/>
  </w:num>
  <w:num w:numId="35">
    <w:abstractNumId w:val="45"/>
  </w:num>
  <w:num w:numId="36">
    <w:abstractNumId w:val="24"/>
  </w:num>
  <w:num w:numId="37">
    <w:abstractNumId w:val="31"/>
  </w:num>
  <w:num w:numId="38">
    <w:abstractNumId w:val="86"/>
  </w:num>
  <w:num w:numId="39">
    <w:abstractNumId w:val="51"/>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2"/>
  </w:num>
  <w:num w:numId="47">
    <w:abstractNumId w:val="89"/>
  </w:num>
  <w:num w:numId="48">
    <w:abstractNumId w:val="54"/>
  </w:num>
  <w:num w:numId="49">
    <w:abstractNumId w:val="74"/>
  </w:num>
  <w:num w:numId="50">
    <w:abstractNumId w:val="68"/>
  </w:num>
  <w:num w:numId="51">
    <w:abstractNumId w:val="32"/>
  </w:num>
  <w:num w:numId="52">
    <w:abstractNumId w:val="11"/>
  </w:num>
  <w:num w:numId="53">
    <w:abstractNumId w:val="77"/>
  </w:num>
  <w:num w:numId="54">
    <w:abstractNumId w:val="91"/>
  </w:num>
  <w:num w:numId="55">
    <w:abstractNumId w:val="67"/>
  </w:num>
  <w:num w:numId="56">
    <w:abstractNumId w:val="83"/>
  </w:num>
  <w:num w:numId="57">
    <w:abstractNumId w:val="44"/>
  </w:num>
  <w:num w:numId="58">
    <w:abstractNumId w:val="9"/>
  </w:num>
  <w:num w:numId="59">
    <w:abstractNumId w:val="87"/>
  </w:num>
  <w:num w:numId="60">
    <w:abstractNumId w:val="28"/>
  </w:num>
  <w:num w:numId="61">
    <w:abstractNumId w:val="59"/>
  </w:num>
  <w:num w:numId="62">
    <w:abstractNumId w:val="29"/>
  </w:num>
  <w:num w:numId="63">
    <w:abstractNumId w:val="48"/>
  </w:num>
  <w:num w:numId="64">
    <w:abstractNumId w:val="88"/>
  </w:num>
  <w:num w:numId="65">
    <w:abstractNumId w:val="22"/>
  </w:num>
  <w:num w:numId="66">
    <w:abstractNumId w:val="34"/>
  </w:num>
  <w:num w:numId="67">
    <w:abstractNumId w:val="12"/>
  </w:num>
  <w:num w:numId="68">
    <w:abstractNumId w:val="80"/>
  </w:num>
  <w:num w:numId="69">
    <w:abstractNumId w:val="66"/>
  </w:num>
  <w:num w:numId="70">
    <w:abstractNumId w:val="2"/>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5"/>
  </w:num>
  <w:num w:numId="74">
    <w:abstractNumId w:val="40"/>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43"/>
  </w:num>
  <w:num w:numId="80">
    <w:abstractNumId w:val="71"/>
  </w:num>
  <w:num w:numId="81">
    <w:abstractNumId w:val="26"/>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2"/>
    </w:lvlOverride>
    <w:lvlOverride w:ilvl="1">
      <w:startOverride w:val="111"/>
    </w:lvlOverride>
  </w:num>
  <w:num w:numId="84">
    <w:abstractNumId w:val="75"/>
  </w:num>
  <w:num w:numId="85">
    <w:abstractNumId w:val="33"/>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1"/>
  </w:num>
  <w:num w:numId="90">
    <w:abstractNumId w:val="36"/>
  </w:num>
  <w:num w:numId="91">
    <w:abstractNumId w:val="50"/>
  </w:num>
  <w:num w:numId="92">
    <w:abstractNumId w:val="47"/>
  </w:num>
  <w:num w:numId="93">
    <w:abstractNumId w:val="53"/>
  </w:num>
  <w:num w:numId="94">
    <w:abstractNumId w:val="46"/>
  </w:num>
  <w:num w:numId="95">
    <w:abstractNumId w:val="92"/>
  </w:num>
  <w:num w:numId="96">
    <w:abstractNumId w:val="73"/>
  </w:num>
  <w:num w:numId="97">
    <w:abstractNumId w:val="57"/>
  </w:num>
  <w:num w:numId="98">
    <w:abstractNumId w:val="79"/>
  </w:num>
  <w:num w:numId="99">
    <w:abstractNumId w:val="10"/>
  </w:num>
  <w:num w:numId="100">
    <w:abstractNumId w:val="25"/>
  </w:num>
  <w:num w:numId="101">
    <w:abstractNumId w:val="58"/>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6808"/>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1D2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613"/>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1F"/>
    <w:rsid w:val="00201BB6"/>
    <w:rsid w:val="002024BB"/>
    <w:rsid w:val="0020393B"/>
    <w:rsid w:val="002049FC"/>
    <w:rsid w:val="002054C6"/>
    <w:rsid w:val="002054F9"/>
    <w:rsid w:val="0020644C"/>
    <w:rsid w:val="00207344"/>
    <w:rsid w:val="00207450"/>
    <w:rsid w:val="002074D1"/>
    <w:rsid w:val="00207532"/>
    <w:rsid w:val="002104A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B45"/>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090A"/>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19"/>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3CB"/>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44C1"/>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4C09"/>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D7345"/>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17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646B-38DD-465E-9F77-666750C6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10812</Words>
  <Characters>61632</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72300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4</cp:revision>
  <cp:lastPrinted>2016-07-19T08:22:00Z</cp:lastPrinted>
  <dcterms:created xsi:type="dcterms:W3CDTF">2020-03-25T09:12:00Z</dcterms:created>
  <dcterms:modified xsi:type="dcterms:W3CDTF">2020-03-25T09:16:00Z</dcterms:modified>
</cp:coreProperties>
</file>