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FE6" w:rsidRDefault="00C70A48" w:rsidP="00A03FE6">
      <w:pPr>
        <w:pStyle w:val="Hlavika"/>
        <w:jc w:val="right"/>
        <w:rPr>
          <w:rFonts w:ascii="Times New Roman" w:hAnsi="Times New Roman"/>
        </w:rPr>
      </w:pPr>
      <w:r>
        <w:rPr>
          <w:rFonts w:ascii="Times New Roman" w:hAnsi="Times New Roman"/>
        </w:rPr>
        <w:t xml:space="preserve"> </w:t>
      </w:r>
      <w:r w:rsidR="00A03FE6">
        <w:rPr>
          <w:rFonts w:ascii="Times New Roman" w:hAnsi="Times New Roman"/>
        </w:rPr>
        <w:t>Príloha č. 4 výzvy OP ĽZ DOP 2018/4.</w:t>
      </w:r>
      <w:r w:rsidR="00F04811">
        <w:rPr>
          <w:rFonts w:ascii="Times New Roman" w:hAnsi="Times New Roman"/>
        </w:rPr>
        <w:t>2.1</w:t>
      </w:r>
      <w:r w:rsidR="00A03FE6">
        <w:rPr>
          <w:rFonts w:ascii="Times New Roman" w:hAnsi="Times New Roman"/>
        </w:rPr>
        <w:t>/01</w:t>
      </w:r>
    </w:p>
    <w:p w:rsidR="00AC0FAB" w:rsidRPr="0059077A" w:rsidRDefault="00AC0FAB" w:rsidP="00D91F8A">
      <w:pPr>
        <w:pStyle w:val="Hlavika"/>
        <w:jc w:val="right"/>
        <w:rPr>
          <w:rFonts w:ascii="Times New Roman" w:hAnsi="Times New Roman"/>
          <w:b/>
          <w:bCs/>
          <w:sz w:val="28"/>
          <w:szCs w:val="28"/>
          <w:u w:val="single"/>
        </w:rPr>
      </w:pPr>
    </w:p>
    <w:p w:rsidR="00E27BEE" w:rsidRPr="00460485" w:rsidRDefault="00AC0FAB" w:rsidP="00CB1BD8">
      <w:pPr>
        <w:autoSpaceDE w:val="0"/>
        <w:autoSpaceDN w:val="0"/>
        <w:adjustRightInd w:val="0"/>
        <w:spacing w:after="0" w:line="240" w:lineRule="auto"/>
        <w:jc w:val="center"/>
        <w:rPr>
          <w:rFonts w:ascii="Times New Roman" w:hAnsi="Times New Roman"/>
          <w:b/>
          <w:bCs/>
          <w:sz w:val="28"/>
          <w:szCs w:val="28"/>
        </w:rPr>
      </w:pPr>
      <w:r w:rsidRPr="00460485">
        <w:rPr>
          <w:rFonts w:ascii="Times New Roman" w:hAnsi="Times New Roman"/>
          <w:b/>
          <w:bCs/>
          <w:sz w:val="28"/>
          <w:szCs w:val="28"/>
        </w:rPr>
        <w:t>Zoznam</w:t>
      </w:r>
      <w:r w:rsidR="00E27BEE" w:rsidRPr="00460485">
        <w:rPr>
          <w:rFonts w:ascii="Times New Roman" w:hAnsi="Times New Roman"/>
          <w:b/>
          <w:bCs/>
          <w:sz w:val="28"/>
          <w:szCs w:val="28"/>
        </w:rPr>
        <w:t xml:space="preserve"> merateľných ukazovateľov</w:t>
      </w:r>
    </w:p>
    <w:p w:rsidR="006846C5" w:rsidRPr="00460485" w:rsidRDefault="006846C5" w:rsidP="0029576C">
      <w:pPr>
        <w:autoSpaceDE w:val="0"/>
        <w:autoSpaceDN w:val="0"/>
        <w:adjustRightInd w:val="0"/>
        <w:spacing w:after="0" w:line="240" w:lineRule="auto"/>
        <w:jc w:val="center"/>
        <w:rPr>
          <w:rFonts w:ascii="Times New Roman" w:hAnsi="Times New Roman"/>
          <w:b/>
          <w:bCs/>
          <w:sz w:val="28"/>
          <w:szCs w:val="28"/>
        </w:rPr>
      </w:pPr>
    </w:p>
    <w:p w:rsidR="00C72754" w:rsidRPr="007C63DA" w:rsidRDefault="00C72754" w:rsidP="000A5563">
      <w:pPr>
        <w:spacing w:after="0" w:line="240" w:lineRule="auto"/>
        <w:jc w:val="both"/>
        <w:rPr>
          <w:rFonts w:ascii="Times New Roman" w:hAnsi="Times New Roman"/>
          <w:bCs/>
          <w:spacing w:val="-4"/>
          <w:sz w:val="24"/>
          <w:szCs w:val="24"/>
          <w:lang w:eastAsia="sk-SK"/>
        </w:rPr>
      </w:pPr>
      <w:r w:rsidRPr="007C63DA">
        <w:rPr>
          <w:rFonts w:ascii="Times New Roman" w:hAnsi="Times New Roman"/>
          <w:bCs/>
          <w:spacing w:val="-4"/>
          <w:sz w:val="24"/>
          <w:szCs w:val="24"/>
          <w:lang w:eastAsia="sk-SK"/>
        </w:rPr>
        <w:t>Žiadateľ/prijímateľ je povinný sledovať</w:t>
      </w:r>
      <w:r w:rsidR="0009340B" w:rsidRPr="007C63DA">
        <w:rPr>
          <w:rFonts w:ascii="Times New Roman" w:hAnsi="Times New Roman"/>
          <w:bCs/>
          <w:spacing w:val="-4"/>
          <w:sz w:val="24"/>
          <w:szCs w:val="24"/>
          <w:lang w:eastAsia="sk-SK"/>
        </w:rPr>
        <w:t>/monitorovať</w:t>
      </w:r>
      <w:r w:rsidRPr="007C63DA">
        <w:rPr>
          <w:rFonts w:ascii="Times New Roman" w:hAnsi="Times New Roman"/>
          <w:bCs/>
          <w:spacing w:val="-4"/>
          <w:sz w:val="24"/>
          <w:szCs w:val="24"/>
          <w:lang w:eastAsia="sk-SK"/>
        </w:rPr>
        <w:t xml:space="preserve"> všetky merateľné ukazovatele </w:t>
      </w:r>
      <w:r w:rsidR="00526615" w:rsidRPr="007C63DA">
        <w:rPr>
          <w:rFonts w:ascii="Times New Roman" w:hAnsi="Times New Roman"/>
          <w:bCs/>
          <w:spacing w:val="-4"/>
          <w:sz w:val="24"/>
          <w:szCs w:val="24"/>
          <w:lang w:eastAsia="sk-SK"/>
        </w:rPr>
        <w:t>(ďalej aj „MÚ“) ktoré sú v nižšie uvedenej tabuľke.</w:t>
      </w:r>
      <w:r w:rsidR="0046740B" w:rsidRPr="007C63DA">
        <w:rPr>
          <w:rFonts w:ascii="Times New Roman" w:hAnsi="Times New Roman"/>
          <w:bCs/>
          <w:spacing w:val="-4"/>
          <w:sz w:val="24"/>
          <w:szCs w:val="24"/>
          <w:lang w:eastAsia="sk-SK"/>
        </w:rPr>
        <w:t xml:space="preserve"> </w:t>
      </w:r>
      <w:r w:rsidR="0046740B" w:rsidRPr="007C63DA">
        <w:rPr>
          <w:rFonts w:ascii="Times New Roman" w:hAnsi="Times New Roman"/>
          <w:bCs/>
          <w:sz w:val="24"/>
          <w:szCs w:val="24"/>
        </w:rPr>
        <w:t>Všetky merateľné ukazovatele v rámci výzvy sú bez príznaku</w:t>
      </w:r>
      <w:r w:rsidR="0046740B" w:rsidRPr="007C63DA">
        <w:rPr>
          <w:rStyle w:val="Odkaznapoznmkupodiarou"/>
          <w:rFonts w:ascii="Times New Roman" w:hAnsi="Times New Roman"/>
          <w:bCs/>
          <w:sz w:val="24"/>
          <w:szCs w:val="24"/>
        </w:rPr>
        <w:footnoteReference w:id="1"/>
      </w:r>
      <w:r w:rsidR="0046740B" w:rsidRPr="007C63DA">
        <w:rPr>
          <w:rFonts w:ascii="Times New Roman" w:hAnsi="Times New Roman"/>
          <w:bCs/>
          <w:sz w:val="24"/>
          <w:szCs w:val="24"/>
        </w:rPr>
        <w:t>.</w:t>
      </w:r>
    </w:p>
    <w:p w:rsidR="009E087D" w:rsidRPr="00460485" w:rsidRDefault="009E087D" w:rsidP="00C72754">
      <w:pPr>
        <w:spacing w:after="0" w:line="240" w:lineRule="auto"/>
        <w:jc w:val="both"/>
        <w:rPr>
          <w:rFonts w:ascii="Times New Roman" w:hAnsi="Times New Roman"/>
          <w:bCs/>
          <w:sz w:val="24"/>
          <w:szCs w:val="24"/>
          <w:lang w:eastAsia="sk-SK"/>
        </w:rPr>
      </w:pPr>
    </w:p>
    <w:p w:rsidR="0029576C" w:rsidRPr="00460485" w:rsidRDefault="0029576C" w:rsidP="00C72754">
      <w:pPr>
        <w:spacing w:after="0" w:line="240" w:lineRule="auto"/>
        <w:jc w:val="both"/>
        <w:rPr>
          <w:rFonts w:ascii="Times New Roman" w:hAnsi="Times New Roman"/>
          <w:bCs/>
          <w:color w:val="FF0000"/>
          <w:sz w:val="24"/>
          <w:szCs w:val="24"/>
          <w:lang w:eastAsia="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62"/>
        <w:gridCol w:w="1758"/>
      </w:tblGrid>
      <w:tr w:rsidR="00BC52B6" w:rsidRPr="00460485" w:rsidTr="00BC52B6">
        <w:trPr>
          <w:trHeight w:val="368"/>
        </w:trPr>
        <w:tc>
          <w:tcPr>
            <w:tcW w:w="4382" w:type="pct"/>
            <w:tcBorders>
              <w:top w:val="single" w:sz="12" w:space="0" w:color="auto"/>
              <w:left w:val="single" w:sz="12" w:space="0" w:color="auto"/>
              <w:right w:val="single" w:sz="12" w:space="0" w:color="auto"/>
            </w:tcBorders>
            <w:shd w:val="clear" w:color="auto" w:fill="E5DFEC"/>
            <w:vAlign w:val="center"/>
          </w:tcPr>
          <w:p w:rsidR="00BC52B6" w:rsidRPr="00460485" w:rsidRDefault="00BC52B6" w:rsidP="00E911BB">
            <w:pPr>
              <w:spacing w:after="0" w:line="240" w:lineRule="auto"/>
              <w:jc w:val="center"/>
              <w:rPr>
                <w:rFonts w:ascii="Times New Roman" w:hAnsi="Times New Roman"/>
                <w:b/>
                <w:bCs/>
                <w:color w:val="000000"/>
                <w:spacing w:val="-4"/>
                <w:sz w:val="24"/>
                <w:szCs w:val="24"/>
                <w:lang w:eastAsia="sk-SK"/>
              </w:rPr>
            </w:pPr>
            <w:r w:rsidRPr="00460485">
              <w:rPr>
                <w:rFonts w:ascii="Times New Roman" w:hAnsi="Times New Roman"/>
                <w:b/>
                <w:bCs/>
                <w:color w:val="000000"/>
                <w:spacing w:val="-4"/>
                <w:sz w:val="24"/>
                <w:szCs w:val="24"/>
                <w:lang w:eastAsia="sk-SK"/>
              </w:rPr>
              <w:t>Kód ukazovateľa a názov ukazovateľa</w:t>
            </w:r>
          </w:p>
        </w:tc>
        <w:tc>
          <w:tcPr>
            <w:tcW w:w="618" w:type="pct"/>
            <w:vMerge w:val="restart"/>
            <w:tcBorders>
              <w:top w:val="single" w:sz="12" w:space="0" w:color="auto"/>
              <w:left w:val="single" w:sz="12" w:space="0" w:color="auto"/>
              <w:bottom w:val="single" w:sz="12" w:space="0" w:color="auto"/>
              <w:right w:val="single" w:sz="12" w:space="0" w:color="auto"/>
            </w:tcBorders>
            <w:shd w:val="clear" w:color="auto" w:fill="E5DFEC"/>
            <w:vAlign w:val="center"/>
          </w:tcPr>
          <w:p w:rsidR="00BC52B6" w:rsidRPr="00460485" w:rsidRDefault="00BC52B6" w:rsidP="00E911BB">
            <w:pPr>
              <w:spacing w:after="0" w:line="240" w:lineRule="auto"/>
              <w:jc w:val="center"/>
              <w:rPr>
                <w:rFonts w:ascii="Times New Roman" w:hAnsi="Times New Roman"/>
                <w:b/>
                <w:bCs/>
                <w:color w:val="000000"/>
                <w:spacing w:val="-4"/>
                <w:sz w:val="24"/>
                <w:szCs w:val="24"/>
                <w:lang w:eastAsia="sk-SK"/>
              </w:rPr>
            </w:pPr>
            <w:r w:rsidRPr="00460485">
              <w:rPr>
                <w:rFonts w:ascii="Times New Roman" w:hAnsi="Times New Roman"/>
                <w:b/>
                <w:bCs/>
                <w:color w:val="000000"/>
                <w:spacing w:val="-4"/>
                <w:sz w:val="24"/>
                <w:szCs w:val="24"/>
                <w:lang w:eastAsia="sk-SK"/>
              </w:rPr>
              <w:t>Merná jednotka</w:t>
            </w:r>
          </w:p>
        </w:tc>
      </w:tr>
      <w:tr w:rsidR="00BC52B6" w:rsidRPr="00460485" w:rsidTr="00BC52B6">
        <w:trPr>
          <w:trHeight w:val="367"/>
        </w:trPr>
        <w:tc>
          <w:tcPr>
            <w:tcW w:w="4382" w:type="pct"/>
            <w:tcBorders>
              <w:left w:val="single" w:sz="12" w:space="0" w:color="auto"/>
              <w:bottom w:val="single" w:sz="12" w:space="0" w:color="auto"/>
              <w:right w:val="single" w:sz="12" w:space="0" w:color="auto"/>
            </w:tcBorders>
            <w:shd w:val="clear" w:color="auto" w:fill="E5DFEC"/>
            <w:vAlign w:val="center"/>
          </w:tcPr>
          <w:p w:rsidR="00BC52B6" w:rsidRPr="00460485" w:rsidRDefault="00BC52B6" w:rsidP="00E911BB">
            <w:pPr>
              <w:spacing w:after="0" w:line="240" w:lineRule="auto"/>
              <w:jc w:val="center"/>
              <w:rPr>
                <w:rFonts w:ascii="Times New Roman" w:hAnsi="Times New Roman"/>
                <w:b/>
                <w:bCs/>
                <w:color w:val="000000"/>
                <w:spacing w:val="-4"/>
                <w:sz w:val="24"/>
                <w:szCs w:val="24"/>
                <w:lang w:eastAsia="sk-SK"/>
              </w:rPr>
            </w:pPr>
            <w:r w:rsidRPr="00460485">
              <w:rPr>
                <w:rFonts w:ascii="Times New Roman" w:hAnsi="Times New Roman"/>
                <w:b/>
                <w:bCs/>
                <w:color w:val="000000"/>
                <w:spacing w:val="-4"/>
                <w:sz w:val="24"/>
                <w:szCs w:val="24"/>
                <w:lang w:eastAsia="sk-SK"/>
              </w:rPr>
              <w:t>Definícia</w:t>
            </w:r>
          </w:p>
        </w:tc>
        <w:tc>
          <w:tcPr>
            <w:tcW w:w="618" w:type="pct"/>
            <w:vMerge/>
            <w:tcBorders>
              <w:left w:val="single" w:sz="12" w:space="0" w:color="auto"/>
              <w:bottom w:val="single" w:sz="12" w:space="0" w:color="auto"/>
              <w:right w:val="single" w:sz="12" w:space="0" w:color="auto"/>
            </w:tcBorders>
            <w:shd w:val="clear" w:color="auto" w:fill="E5DFEC"/>
            <w:vAlign w:val="center"/>
          </w:tcPr>
          <w:p w:rsidR="00BC52B6" w:rsidRPr="00460485" w:rsidRDefault="00BC52B6" w:rsidP="00E911BB">
            <w:pPr>
              <w:spacing w:after="0" w:line="240" w:lineRule="auto"/>
              <w:jc w:val="center"/>
              <w:rPr>
                <w:rFonts w:ascii="Times New Roman" w:hAnsi="Times New Roman"/>
                <w:b/>
                <w:bCs/>
                <w:color w:val="000000"/>
                <w:spacing w:val="-4"/>
                <w:sz w:val="24"/>
                <w:szCs w:val="24"/>
                <w:lang w:eastAsia="sk-SK"/>
              </w:rPr>
            </w:pPr>
          </w:p>
        </w:tc>
      </w:tr>
      <w:tr w:rsidR="00BC52B6" w:rsidRPr="00A7351A" w:rsidTr="00CC486A">
        <w:trPr>
          <w:trHeight w:val="2692"/>
        </w:trPr>
        <w:tc>
          <w:tcPr>
            <w:tcW w:w="4382" w:type="pct"/>
            <w:tcBorders>
              <w:left w:val="single" w:sz="12" w:space="0" w:color="auto"/>
              <w:right w:val="single" w:sz="12" w:space="0" w:color="auto"/>
            </w:tcBorders>
          </w:tcPr>
          <w:p w:rsidR="00563DE1" w:rsidRPr="00563DE1" w:rsidRDefault="00563DE1" w:rsidP="00563DE1">
            <w:pPr>
              <w:spacing w:after="0" w:line="240" w:lineRule="auto"/>
              <w:contextualSpacing/>
              <w:rPr>
                <w:rFonts w:ascii="Times New Roman" w:hAnsi="Times New Roman"/>
                <w:b/>
                <w:bCs/>
                <w:color w:val="000000"/>
                <w:sz w:val="24"/>
                <w:szCs w:val="24"/>
                <w:lang w:eastAsia="sk-SK"/>
              </w:rPr>
            </w:pPr>
            <w:r w:rsidRPr="00563DE1">
              <w:rPr>
                <w:rFonts w:ascii="Times New Roman" w:hAnsi="Times New Roman"/>
                <w:b/>
                <w:bCs/>
                <w:color w:val="000000"/>
                <w:sz w:val="24"/>
                <w:szCs w:val="24"/>
                <w:lang w:eastAsia="sk-SK"/>
              </w:rPr>
              <w:t xml:space="preserve">P0334 Počet podporovaných kapacít nových, inovatívnych služieb alebo opatrení na </w:t>
            </w:r>
            <w:proofErr w:type="spellStart"/>
            <w:r w:rsidRPr="00563DE1">
              <w:rPr>
                <w:rFonts w:ascii="Times New Roman" w:hAnsi="Times New Roman"/>
                <w:b/>
                <w:bCs/>
                <w:color w:val="000000"/>
                <w:sz w:val="24"/>
                <w:szCs w:val="24"/>
                <w:lang w:eastAsia="sk-SK"/>
              </w:rPr>
              <w:t>komunitnej</w:t>
            </w:r>
            <w:proofErr w:type="spellEnd"/>
            <w:r w:rsidRPr="00563DE1">
              <w:rPr>
                <w:rFonts w:ascii="Times New Roman" w:hAnsi="Times New Roman"/>
                <w:b/>
                <w:bCs/>
                <w:color w:val="000000"/>
                <w:sz w:val="24"/>
                <w:szCs w:val="24"/>
                <w:lang w:eastAsia="sk-SK"/>
              </w:rPr>
              <w:t xml:space="preserve"> úrovni, v domácom prostredí, otvorenom prostredí alebo náhradnom prostredí</w:t>
            </w:r>
          </w:p>
          <w:p w:rsidR="00563DE1" w:rsidRPr="00563DE1" w:rsidRDefault="00563DE1" w:rsidP="00563DE1">
            <w:pPr>
              <w:spacing w:after="0" w:line="240" w:lineRule="auto"/>
              <w:contextualSpacing/>
              <w:rPr>
                <w:rFonts w:ascii="Times New Roman" w:hAnsi="Times New Roman"/>
                <w:b/>
                <w:bCs/>
                <w:color w:val="000000"/>
                <w:sz w:val="24"/>
                <w:szCs w:val="24"/>
                <w:lang w:eastAsia="sk-SK"/>
              </w:rPr>
            </w:pPr>
          </w:p>
          <w:p w:rsidR="003C1C8A" w:rsidRDefault="00563DE1" w:rsidP="00CC486A">
            <w:pPr>
              <w:spacing w:after="0" w:line="240" w:lineRule="auto"/>
              <w:rPr>
                <w:rFonts w:ascii="Times New Roman" w:hAnsi="Times New Roman"/>
                <w:bCs/>
                <w:color w:val="000000"/>
                <w:sz w:val="24"/>
                <w:szCs w:val="24"/>
                <w:lang w:eastAsia="sk-SK"/>
              </w:rPr>
            </w:pPr>
            <w:r w:rsidRPr="00563DE1">
              <w:rPr>
                <w:rFonts w:ascii="Times New Roman" w:hAnsi="Times New Roman"/>
                <w:b/>
                <w:bCs/>
                <w:color w:val="000000"/>
                <w:sz w:val="24"/>
                <w:szCs w:val="24"/>
                <w:lang w:eastAsia="sk-SK"/>
              </w:rPr>
              <w:t xml:space="preserve">Definícia: </w:t>
            </w:r>
            <w:r w:rsidRPr="00563DE1">
              <w:rPr>
                <w:rFonts w:ascii="Times New Roman" w:hAnsi="Times New Roman"/>
                <w:bCs/>
                <w:color w:val="000000"/>
                <w:sz w:val="24"/>
                <w:szCs w:val="24"/>
                <w:lang w:eastAsia="sk-SK"/>
              </w:rPr>
              <w:t xml:space="preserve">Kapacita nových, inovatívnych sociálnych služieb alebo opatrení sociálnoprávnej ochrany detí a sociálnej kurately pre deti/rodiny/deti so zdravotným postihnutím/osoby so zdravotným postihnutím/osoby v nepriaznivej sociálnej situácii na </w:t>
            </w:r>
            <w:proofErr w:type="spellStart"/>
            <w:r w:rsidRPr="00563DE1">
              <w:rPr>
                <w:rFonts w:ascii="Times New Roman" w:hAnsi="Times New Roman"/>
                <w:bCs/>
                <w:color w:val="000000"/>
                <w:sz w:val="24"/>
                <w:szCs w:val="24"/>
                <w:lang w:eastAsia="sk-SK"/>
              </w:rPr>
              <w:t>komunitnej</w:t>
            </w:r>
            <w:proofErr w:type="spellEnd"/>
            <w:r w:rsidRPr="00563DE1">
              <w:rPr>
                <w:rFonts w:ascii="Times New Roman" w:hAnsi="Times New Roman"/>
                <w:bCs/>
                <w:color w:val="000000"/>
                <w:sz w:val="24"/>
                <w:szCs w:val="24"/>
                <w:lang w:eastAsia="sk-SK"/>
              </w:rPr>
              <w:t xml:space="preserve"> úrovni, v domácom prostredí, otvorenom prostredí alebo náhradnom prostredí, na ktoré bola poskytnutá podpora z ESF. Za kapacitu sa na účely ukazovateľa považuje schopnosť absorbovať určený počet klientov do opatrení vykonávaných na </w:t>
            </w:r>
            <w:proofErr w:type="spellStart"/>
            <w:r w:rsidRPr="00563DE1">
              <w:rPr>
                <w:rFonts w:ascii="Times New Roman" w:hAnsi="Times New Roman"/>
                <w:bCs/>
                <w:color w:val="000000"/>
                <w:sz w:val="24"/>
                <w:szCs w:val="24"/>
                <w:lang w:eastAsia="sk-SK"/>
              </w:rPr>
              <w:t>komunitnej</w:t>
            </w:r>
            <w:proofErr w:type="spellEnd"/>
            <w:r w:rsidRPr="00563DE1">
              <w:rPr>
                <w:rFonts w:ascii="Times New Roman" w:hAnsi="Times New Roman"/>
                <w:bCs/>
                <w:color w:val="000000"/>
                <w:sz w:val="24"/>
                <w:szCs w:val="24"/>
                <w:lang w:eastAsia="sk-SK"/>
              </w:rPr>
              <w:t xml:space="preserve"> úrovni, t.j. schopnosť vykonávať odborné metódy práce v domácom prostredí klienta, resp. v náhradnom rodinnom prostredí klienta, resp. podporovať odbornými činnosťami život klientov v komunite pre určitý objem klientov.</w:t>
            </w:r>
          </w:p>
          <w:p w:rsidR="003C1C8A" w:rsidRDefault="003C1C8A" w:rsidP="00CC486A">
            <w:pPr>
              <w:spacing w:after="0" w:line="240" w:lineRule="auto"/>
              <w:rPr>
                <w:rFonts w:ascii="Times New Roman" w:hAnsi="Times New Roman"/>
                <w:bCs/>
                <w:color w:val="000000"/>
                <w:sz w:val="24"/>
                <w:szCs w:val="24"/>
                <w:lang w:eastAsia="sk-SK"/>
              </w:rPr>
            </w:pPr>
          </w:p>
          <w:p w:rsidR="003C1C8A" w:rsidRPr="00833FBE" w:rsidRDefault="003C1C8A" w:rsidP="00CC486A">
            <w:pPr>
              <w:spacing w:after="0" w:line="240" w:lineRule="auto"/>
              <w:rPr>
                <w:rFonts w:ascii="Times New Roman" w:hAnsi="Times New Roman"/>
                <w:b/>
                <w:bCs/>
                <w:color w:val="000000"/>
                <w:sz w:val="24"/>
                <w:szCs w:val="24"/>
                <w:lang w:eastAsia="sk-SK"/>
              </w:rPr>
            </w:pPr>
            <w:r w:rsidRPr="00833FBE">
              <w:rPr>
                <w:rFonts w:ascii="Times New Roman" w:hAnsi="Times New Roman"/>
                <w:b/>
                <w:bCs/>
                <w:color w:val="000000"/>
                <w:sz w:val="24"/>
                <w:szCs w:val="24"/>
                <w:lang w:eastAsia="sk-SK"/>
              </w:rPr>
              <w:t>Spôsob výpočtu:</w:t>
            </w:r>
            <w:r>
              <w:rPr>
                <w:rFonts w:ascii="Times New Roman" w:hAnsi="Times New Roman"/>
                <w:b/>
                <w:bCs/>
                <w:color w:val="000000"/>
                <w:sz w:val="24"/>
                <w:szCs w:val="24"/>
                <w:lang w:eastAsia="sk-SK"/>
              </w:rPr>
              <w:t xml:space="preserve"> </w:t>
            </w:r>
            <w:r w:rsidR="00442440" w:rsidRPr="00833FBE">
              <w:rPr>
                <w:rFonts w:ascii="Times New Roman" w:hAnsi="Times New Roman"/>
                <w:bCs/>
                <w:color w:val="000000"/>
                <w:sz w:val="24"/>
                <w:szCs w:val="24"/>
                <w:lang w:eastAsia="sk-SK"/>
              </w:rPr>
              <w:t>Za kapacitu sa na účely ukazovateľa považuje</w:t>
            </w:r>
            <w:r w:rsidR="00442440">
              <w:rPr>
                <w:rFonts w:ascii="Times New Roman" w:hAnsi="Times New Roman"/>
                <w:bCs/>
                <w:color w:val="000000"/>
                <w:sz w:val="24"/>
                <w:szCs w:val="24"/>
                <w:lang w:eastAsia="sk-SK"/>
              </w:rPr>
              <w:t xml:space="preserve"> počet pracovných miest opatrovateliek prepočítaný na u</w:t>
            </w:r>
            <w:r w:rsidR="00442440" w:rsidRPr="00442440">
              <w:rPr>
                <w:rFonts w:ascii="Times New Roman" w:hAnsi="Times New Roman"/>
                <w:bCs/>
                <w:color w:val="000000"/>
                <w:sz w:val="24"/>
                <w:szCs w:val="24"/>
                <w:lang w:eastAsia="sk-SK"/>
              </w:rPr>
              <w:t>stanovený týždenný pracovný čas</w:t>
            </w:r>
            <w:r w:rsidR="00442440">
              <w:rPr>
                <w:rFonts w:ascii="Times New Roman" w:hAnsi="Times New Roman"/>
                <w:bCs/>
                <w:color w:val="000000"/>
                <w:sz w:val="24"/>
                <w:szCs w:val="24"/>
                <w:lang w:eastAsia="sk-SK"/>
              </w:rPr>
              <w:t xml:space="preserve"> v </w:t>
            </w:r>
            <w:r w:rsidR="00442440" w:rsidRPr="00442440">
              <w:rPr>
                <w:rFonts w:ascii="Times New Roman" w:hAnsi="Times New Roman"/>
                <w:bCs/>
                <w:color w:val="000000"/>
                <w:sz w:val="24"/>
                <w:szCs w:val="24"/>
                <w:lang w:eastAsia="sk-SK"/>
              </w:rPr>
              <w:t>rozsah</w:t>
            </w:r>
            <w:r w:rsidR="00442440">
              <w:rPr>
                <w:rFonts w:ascii="Times New Roman" w:hAnsi="Times New Roman"/>
                <w:bCs/>
                <w:color w:val="000000"/>
                <w:sz w:val="24"/>
                <w:szCs w:val="24"/>
                <w:lang w:eastAsia="sk-SK"/>
              </w:rPr>
              <w:t xml:space="preserve">u 1,0 pracovného úväzku. </w:t>
            </w:r>
            <w:proofErr w:type="spellStart"/>
            <w:r w:rsidR="00442440">
              <w:rPr>
                <w:rFonts w:ascii="Times New Roman" w:hAnsi="Times New Roman"/>
                <w:bCs/>
                <w:color w:val="000000"/>
                <w:sz w:val="24"/>
                <w:szCs w:val="24"/>
                <w:lang w:eastAsia="sk-SK"/>
              </w:rPr>
              <w:t>Napr</w:t>
            </w:r>
            <w:proofErr w:type="spellEnd"/>
            <w:r w:rsidR="00442440">
              <w:rPr>
                <w:rFonts w:ascii="Times New Roman" w:hAnsi="Times New Roman"/>
                <w:bCs/>
                <w:color w:val="000000"/>
                <w:sz w:val="24"/>
                <w:szCs w:val="24"/>
                <w:lang w:eastAsia="sk-SK"/>
              </w:rPr>
              <w:t>: ak v rámci projektu podporujeme 10 pracovných miest opatrovateliek pracujúcich na u</w:t>
            </w:r>
            <w:r w:rsidR="00442440" w:rsidRPr="00442440">
              <w:rPr>
                <w:rFonts w:ascii="Times New Roman" w:hAnsi="Times New Roman"/>
                <w:bCs/>
                <w:color w:val="000000"/>
                <w:sz w:val="24"/>
                <w:szCs w:val="24"/>
                <w:lang w:eastAsia="sk-SK"/>
              </w:rPr>
              <w:t>stanovený týždenný pracovný čas</w:t>
            </w:r>
            <w:r w:rsidR="008D6777">
              <w:rPr>
                <w:rFonts w:ascii="Times New Roman" w:hAnsi="Times New Roman"/>
                <w:bCs/>
                <w:color w:val="000000"/>
                <w:sz w:val="24"/>
                <w:szCs w:val="24"/>
                <w:lang w:eastAsia="sk-SK"/>
              </w:rPr>
              <w:t xml:space="preserve"> – plný prac. úväzok</w:t>
            </w:r>
            <w:r w:rsidR="00442440">
              <w:rPr>
                <w:rFonts w:ascii="Times New Roman" w:hAnsi="Times New Roman"/>
                <w:bCs/>
                <w:color w:val="000000"/>
                <w:sz w:val="24"/>
                <w:szCs w:val="24"/>
                <w:lang w:eastAsia="sk-SK"/>
              </w:rPr>
              <w:t>, hodnota ukazovateľa je 10.</w:t>
            </w:r>
            <w:r w:rsidR="00442440">
              <w:t xml:space="preserve"> </w:t>
            </w:r>
            <w:r w:rsidR="00442440">
              <w:rPr>
                <w:rFonts w:ascii="Times New Roman" w:hAnsi="Times New Roman"/>
                <w:bCs/>
                <w:color w:val="000000"/>
                <w:sz w:val="24"/>
                <w:szCs w:val="24"/>
                <w:lang w:eastAsia="sk-SK"/>
              </w:rPr>
              <w:t>A</w:t>
            </w:r>
            <w:r w:rsidR="00442440" w:rsidRPr="00442440">
              <w:rPr>
                <w:rFonts w:ascii="Times New Roman" w:hAnsi="Times New Roman"/>
                <w:bCs/>
                <w:color w:val="000000"/>
                <w:sz w:val="24"/>
                <w:szCs w:val="24"/>
                <w:lang w:eastAsia="sk-SK"/>
              </w:rPr>
              <w:t xml:space="preserve">k v rámci projektu podporujeme 10 pracovných miest opatrovateliek pracujúcich na </w:t>
            </w:r>
            <w:r w:rsidR="00442440">
              <w:rPr>
                <w:rFonts w:ascii="Times New Roman" w:hAnsi="Times New Roman"/>
                <w:bCs/>
                <w:color w:val="000000"/>
                <w:sz w:val="24"/>
                <w:szCs w:val="24"/>
                <w:lang w:eastAsia="sk-SK"/>
              </w:rPr>
              <w:t>kratší pracovný čas vo výške ½ ustanoveného týždenného pracovného</w:t>
            </w:r>
            <w:r w:rsidR="00442440" w:rsidRPr="00442440">
              <w:rPr>
                <w:rFonts w:ascii="Times New Roman" w:hAnsi="Times New Roman"/>
                <w:bCs/>
                <w:color w:val="000000"/>
                <w:sz w:val="24"/>
                <w:szCs w:val="24"/>
                <w:lang w:eastAsia="sk-SK"/>
              </w:rPr>
              <w:t xml:space="preserve"> čas</w:t>
            </w:r>
            <w:r w:rsidR="00442440">
              <w:rPr>
                <w:rFonts w:ascii="Times New Roman" w:hAnsi="Times New Roman"/>
                <w:bCs/>
                <w:color w:val="000000"/>
                <w:sz w:val="24"/>
                <w:szCs w:val="24"/>
                <w:lang w:eastAsia="sk-SK"/>
              </w:rPr>
              <w:t>u, hodnota ukazovateľa je 5</w:t>
            </w:r>
            <w:r w:rsidR="00442440" w:rsidRPr="00442440">
              <w:rPr>
                <w:rFonts w:ascii="Times New Roman" w:hAnsi="Times New Roman"/>
                <w:bCs/>
                <w:color w:val="000000"/>
                <w:sz w:val="24"/>
                <w:szCs w:val="24"/>
                <w:lang w:eastAsia="sk-SK"/>
              </w:rPr>
              <w:t>.</w:t>
            </w:r>
          </w:p>
        </w:tc>
        <w:tc>
          <w:tcPr>
            <w:tcW w:w="618" w:type="pct"/>
            <w:tcBorders>
              <w:left w:val="single" w:sz="12" w:space="0" w:color="auto"/>
            </w:tcBorders>
            <w:vAlign w:val="center"/>
          </w:tcPr>
          <w:p w:rsidR="00BC52B6" w:rsidRPr="00460485" w:rsidRDefault="00BC52B6" w:rsidP="00E31297">
            <w:pPr>
              <w:spacing w:after="0" w:line="240" w:lineRule="auto"/>
              <w:jc w:val="center"/>
              <w:rPr>
                <w:rFonts w:ascii="Times New Roman" w:hAnsi="Times New Roman"/>
                <w:sz w:val="24"/>
                <w:szCs w:val="24"/>
                <w:lang w:eastAsia="sk-SK"/>
              </w:rPr>
            </w:pPr>
            <w:r w:rsidRPr="00460485">
              <w:rPr>
                <w:rFonts w:ascii="Times New Roman" w:hAnsi="Times New Roman"/>
                <w:sz w:val="24"/>
                <w:szCs w:val="24"/>
                <w:lang w:eastAsia="sk-SK"/>
              </w:rPr>
              <w:t>počet</w:t>
            </w:r>
          </w:p>
        </w:tc>
      </w:tr>
      <w:tr w:rsidR="00EF500A" w:rsidRPr="00A7351A" w:rsidTr="00C740A1">
        <w:trPr>
          <w:trHeight w:val="3459"/>
        </w:trPr>
        <w:tc>
          <w:tcPr>
            <w:tcW w:w="4382" w:type="pct"/>
            <w:tcBorders>
              <w:left w:val="single" w:sz="12" w:space="0" w:color="auto"/>
              <w:right w:val="single" w:sz="12" w:space="0" w:color="auto"/>
            </w:tcBorders>
          </w:tcPr>
          <w:p w:rsidR="00EF500A" w:rsidRPr="00C740A1" w:rsidRDefault="00EF500A" w:rsidP="00EF500A">
            <w:pPr>
              <w:rPr>
                <w:rFonts w:ascii="Times New Roman" w:hAnsi="Times New Roman"/>
                <w:b/>
                <w:color w:val="000000"/>
                <w:sz w:val="24"/>
                <w:szCs w:val="24"/>
              </w:rPr>
            </w:pPr>
            <w:r w:rsidRPr="00563DE1">
              <w:rPr>
                <w:rFonts w:ascii="Times New Roman" w:hAnsi="Times New Roman"/>
                <w:b/>
                <w:bCs/>
                <w:color w:val="000000"/>
                <w:sz w:val="24"/>
                <w:szCs w:val="24"/>
                <w:lang w:eastAsia="sk-SK"/>
              </w:rPr>
              <w:lastRenderedPageBreak/>
              <w:t>P03</w:t>
            </w:r>
            <w:r>
              <w:rPr>
                <w:rFonts w:ascii="Times New Roman" w:hAnsi="Times New Roman"/>
                <w:b/>
                <w:bCs/>
                <w:color w:val="000000"/>
                <w:sz w:val="24"/>
                <w:szCs w:val="24"/>
                <w:lang w:eastAsia="sk-SK"/>
              </w:rPr>
              <w:t xml:space="preserve">61 </w:t>
            </w:r>
            <w:r w:rsidRPr="00C740A1">
              <w:rPr>
                <w:rFonts w:ascii="Times New Roman" w:hAnsi="Times New Roman"/>
                <w:b/>
                <w:color w:val="000000"/>
                <w:sz w:val="24"/>
                <w:szCs w:val="24"/>
              </w:rPr>
              <w:t>Počet projektov zameraných na verejné správy alebo sociálne služby na vnútroštátnej, regionálnej a miestnej úrovni</w:t>
            </w:r>
          </w:p>
          <w:p w:rsidR="00EF500A" w:rsidRDefault="00EF500A" w:rsidP="00EF500A">
            <w:pPr>
              <w:rPr>
                <w:rFonts w:ascii="Times New Roman" w:hAnsi="Times New Roman"/>
                <w:color w:val="000000"/>
                <w:sz w:val="24"/>
                <w:szCs w:val="24"/>
              </w:rPr>
            </w:pPr>
            <w:r w:rsidRPr="00563DE1">
              <w:rPr>
                <w:rFonts w:ascii="Times New Roman" w:hAnsi="Times New Roman"/>
                <w:b/>
                <w:bCs/>
                <w:color w:val="000000"/>
                <w:sz w:val="24"/>
                <w:szCs w:val="24"/>
                <w:lang w:eastAsia="sk-SK"/>
              </w:rPr>
              <w:t xml:space="preserve">Definícia: </w:t>
            </w:r>
            <w:r w:rsidRPr="00C740A1">
              <w:rPr>
                <w:rFonts w:ascii="Times New Roman" w:hAnsi="Times New Roman"/>
                <w:color w:val="000000"/>
                <w:sz w:val="24"/>
                <w:szCs w:val="24"/>
              </w:rPr>
              <w:t>Počet projektov podporovaných z ESF zameraných na posilnenie inštitucionálnych kapacít a efektívnej verejnej správy.</w:t>
            </w:r>
            <w:r w:rsidRPr="00C740A1">
              <w:rPr>
                <w:rFonts w:ascii="Times New Roman" w:hAnsi="Times New Roman"/>
                <w:color w:val="000000"/>
                <w:sz w:val="24"/>
                <w:szCs w:val="24"/>
              </w:rPr>
              <w:br/>
              <w:t xml:space="preserve">"Verejná správa a sociálne služby" možno chápať ako akýkoľvek verejný alebo súkromný subjekt, ktorý poskytuje verejnú službu. To je dôležité pre niektoré členské štáty, pretože môžu existovať služby, ktoré sú vykonávané externe prostredníctvom veľkých súkromných alebo </w:t>
            </w:r>
            <w:proofErr w:type="spellStart"/>
            <w:r w:rsidRPr="00C740A1">
              <w:rPr>
                <w:rFonts w:ascii="Times New Roman" w:hAnsi="Times New Roman"/>
                <w:color w:val="000000"/>
                <w:sz w:val="24"/>
                <w:szCs w:val="24"/>
              </w:rPr>
              <w:t>polosúkromných</w:t>
            </w:r>
            <w:proofErr w:type="spellEnd"/>
            <w:r w:rsidRPr="00C740A1">
              <w:rPr>
                <w:rFonts w:ascii="Times New Roman" w:hAnsi="Times New Roman"/>
                <w:color w:val="000000"/>
                <w:sz w:val="24"/>
                <w:szCs w:val="24"/>
              </w:rPr>
              <w:t xml:space="preserve"> poskytovateľov, t.j. súkromné orgány s verejnou funkciou.</w:t>
            </w:r>
            <w:r w:rsidRPr="00C740A1">
              <w:rPr>
                <w:rFonts w:ascii="Times New Roman" w:hAnsi="Times New Roman"/>
                <w:color w:val="000000"/>
                <w:sz w:val="24"/>
                <w:szCs w:val="24"/>
              </w:rPr>
              <w:br/>
            </w:r>
          </w:p>
          <w:p w:rsidR="00EF500A" w:rsidRPr="00563DE1" w:rsidRDefault="00EF500A" w:rsidP="00563DE1">
            <w:pPr>
              <w:spacing w:after="0" w:line="240" w:lineRule="auto"/>
              <w:contextualSpacing/>
              <w:rPr>
                <w:rFonts w:ascii="Times New Roman" w:hAnsi="Times New Roman"/>
                <w:b/>
                <w:bCs/>
                <w:color w:val="000000"/>
                <w:sz w:val="24"/>
                <w:szCs w:val="24"/>
                <w:lang w:eastAsia="sk-SK"/>
              </w:rPr>
            </w:pPr>
            <w:r w:rsidRPr="00833FBE">
              <w:rPr>
                <w:rFonts w:ascii="Times New Roman" w:hAnsi="Times New Roman"/>
                <w:b/>
                <w:bCs/>
                <w:color w:val="000000"/>
                <w:sz w:val="24"/>
                <w:szCs w:val="24"/>
                <w:lang w:eastAsia="sk-SK"/>
              </w:rPr>
              <w:t>Spôsob výpočtu:</w:t>
            </w:r>
            <w:r>
              <w:rPr>
                <w:rFonts w:ascii="Times New Roman" w:hAnsi="Times New Roman"/>
                <w:b/>
                <w:bCs/>
                <w:color w:val="000000"/>
                <w:sz w:val="24"/>
                <w:szCs w:val="24"/>
                <w:lang w:eastAsia="sk-SK"/>
              </w:rPr>
              <w:t xml:space="preserve"> </w:t>
            </w:r>
            <w:r w:rsidR="00C740A1" w:rsidRPr="00C740A1">
              <w:rPr>
                <w:rFonts w:ascii="Times New Roman" w:hAnsi="Times New Roman"/>
                <w:bCs/>
                <w:color w:val="000000"/>
                <w:sz w:val="24"/>
                <w:szCs w:val="24"/>
                <w:lang w:eastAsia="sk-SK"/>
              </w:rPr>
              <w:t>Za každý implementovaný projekt sa vykáže hodnota plnenia ukazovateľa 1</w:t>
            </w:r>
            <w:r w:rsidR="00C740A1">
              <w:rPr>
                <w:rFonts w:ascii="Times New Roman" w:hAnsi="Times New Roman"/>
                <w:bCs/>
                <w:color w:val="000000"/>
                <w:sz w:val="24"/>
                <w:szCs w:val="24"/>
                <w:lang w:eastAsia="sk-SK"/>
              </w:rPr>
              <w:t>.</w:t>
            </w:r>
          </w:p>
        </w:tc>
        <w:tc>
          <w:tcPr>
            <w:tcW w:w="618" w:type="pct"/>
            <w:tcBorders>
              <w:left w:val="single" w:sz="12" w:space="0" w:color="auto"/>
            </w:tcBorders>
            <w:vAlign w:val="center"/>
          </w:tcPr>
          <w:p w:rsidR="00EF500A" w:rsidRPr="00460485" w:rsidRDefault="003F0C40" w:rsidP="00E31297">
            <w:pPr>
              <w:spacing w:after="0" w:line="240" w:lineRule="auto"/>
              <w:jc w:val="center"/>
              <w:rPr>
                <w:rFonts w:ascii="Times New Roman" w:hAnsi="Times New Roman"/>
                <w:sz w:val="24"/>
                <w:szCs w:val="24"/>
                <w:lang w:eastAsia="sk-SK"/>
              </w:rPr>
            </w:pPr>
            <w:r w:rsidRPr="00460485">
              <w:rPr>
                <w:rFonts w:ascii="Times New Roman" w:hAnsi="Times New Roman"/>
                <w:sz w:val="24"/>
                <w:szCs w:val="24"/>
                <w:lang w:eastAsia="sk-SK"/>
              </w:rPr>
              <w:t>počet</w:t>
            </w:r>
            <w:bookmarkStart w:id="0" w:name="_GoBack"/>
            <w:bookmarkEnd w:id="0"/>
          </w:p>
        </w:tc>
      </w:tr>
    </w:tbl>
    <w:p w:rsidR="00C72754" w:rsidRDefault="00C72754" w:rsidP="0029576C">
      <w:pPr>
        <w:spacing w:after="0" w:line="240" w:lineRule="auto"/>
        <w:jc w:val="both"/>
        <w:rPr>
          <w:rFonts w:ascii="Times New Roman" w:hAnsi="Times New Roman"/>
          <w:bCs/>
          <w:sz w:val="24"/>
          <w:szCs w:val="24"/>
          <w:lang w:eastAsia="sk-SK"/>
        </w:rPr>
      </w:pPr>
    </w:p>
    <w:p w:rsidR="000A5563" w:rsidRDefault="000A5563" w:rsidP="0029576C">
      <w:pPr>
        <w:spacing w:after="0" w:line="240" w:lineRule="auto"/>
        <w:jc w:val="both"/>
        <w:rPr>
          <w:rFonts w:ascii="Times New Roman" w:hAnsi="Times New Roman"/>
          <w:bCs/>
          <w:sz w:val="24"/>
          <w:szCs w:val="24"/>
          <w:lang w:eastAsia="sk-SK"/>
        </w:rPr>
      </w:pPr>
    </w:p>
    <w:p w:rsidR="00694E0D" w:rsidRDefault="00694E0D" w:rsidP="0029576C">
      <w:pPr>
        <w:spacing w:after="0" w:line="240" w:lineRule="auto"/>
        <w:jc w:val="both"/>
        <w:rPr>
          <w:rFonts w:ascii="Times New Roman" w:hAnsi="Times New Roman"/>
          <w:bCs/>
          <w:sz w:val="24"/>
          <w:szCs w:val="24"/>
          <w:lang w:eastAsia="sk-SK"/>
        </w:rPr>
      </w:pPr>
    </w:p>
    <w:p w:rsidR="00EF500A" w:rsidRDefault="00EF500A" w:rsidP="0029576C">
      <w:pPr>
        <w:spacing w:after="0" w:line="240" w:lineRule="auto"/>
        <w:jc w:val="both"/>
        <w:rPr>
          <w:rFonts w:ascii="Times New Roman" w:hAnsi="Times New Roman"/>
          <w:bCs/>
          <w:sz w:val="24"/>
          <w:szCs w:val="24"/>
          <w:lang w:eastAsia="sk-SK"/>
        </w:rPr>
      </w:pPr>
    </w:p>
    <w:p w:rsidR="00EF500A" w:rsidRDefault="00EF500A" w:rsidP="0029576C">
      <w:pPr>
        <w:spacing w:after="0" w:line="240" w:lineRule="auto"/>
        <w:jc w:val="both"/>
        <w:rPr>
          <w:rFonts w:ascii="Times New Roman" w:hAnsi="Times New Roman"/>
          <w:bCs/>
          <w:sz w:val="24"/>
          <w:szCs w:val="24"/>
          <w:lang w:eastAsia="sk-SK"/>
        </w:rPr>
      </w:pPr>
    </w:p>
    <w:p w:rsidR="00EF500A" w:rsidRDefault="00EF500A" w:rsidP="0029576C">
      <w:pPr>
        <w:spacing w:after="0" w:line="240" w:lineRule="auto"/>
        <w:jc w:val="both"/>
        <w:rPr>
          <w:rFonts w:ascii="Times New Roman" w:hAnsi="Times New Roman"/>
          <w:bCs/>
          <w:sz w:val="24"/>
          <w:szCs w:val="24"/>
          <w:lang w:eastAsia="sk-SK"/>
        </w:rPr>
      </w:pPr>
    </w:p>
    <w:p w:rsidR="00EF500A" w:rsidRDefault="00EF500A" w:rsidP="0029576C">
      <w:pPr>
        <w:spacing w:after="0" w:line="240" w:lineRule="auto"/>
        <w:jc w:val="both"/>
        <w:rPr>
          <w:rFonts w:ascii="Times New Roman" w:hAnsi="Times New Roman"/>
          <w:bCs/>
          <w:sz w:val="24"/>
          <w:szCs w:val="24"/>
          <w:lang w:eastAsia="sk-SK"/>
        </w:rPr>
      </w:pPr>
    </w:p>
    <w:p w:rsidR="00EF500A" w:rsidRDefault="00EF500A" w:rsidP="0029576C">
      <w:pPr>
        <w:spacing w:after="0" w:line="240" w:lineRule="auto"/>
        <w:jc w:val="both"/>
        <w:rPr>
          <w:rFonts w:ascii="Times New Roman" w:hAnsi="Times New Roman"/>
          <w:bCs/>
          <w:sz w:val="24"/>
          <w:szCs w:val="24"/>
          <w:lang w:eastAsia="sk-SK"/>
        </w:rPr>
      </w:pPr>
    </w:p>
    <w:p w:rsidR="00EF500A" w:rsidRDefault="00EF500A" w:rsidP="0029576C">
      <w:pPr>
        <w:spacing w:after="0" w:line="240" w:lineRule="auto"/>
        <w:jc w:val="both"/>
        <w:rPr>
          <w:rFonts w:ascii="Times New Roman" w:hAnsi="Times New Roman"/>
          <w:bCs/>
          <w:sz w:val="24"/>
          <w:szCs w:val="24"/>
          <w:lang w:eastAsia="sk-SK"/>
        </w:rPr>
      </w:pPr>
    </w:p>
    <w:p w:rsidR="00EF500A" w:rsidRDefault="00EF500A" w:rsidP="0029576C">
      <w:pPr>
        <w:spacing w:after="0" w:line="240" w:lineRule="auto"/>
        <w:jc w:val="both"/>
        <w:rPr>
          <w:rFonts w:ascii="Times New Roman" w:hAnsi="Times New Roman"/>
          <w:bCs/>
          <w:sz w:val="24"/>
          <w:szCs w:val="24"/>
          <w:lang w:eastAsia="sk-SK"/>
        </w:rPr>
      </w:pPr>
    </w:p>
    <w:p w:rsidR="00EF500A" w:rsidRDefault="00EF500A" w:rsidP="0029576C">
      <w:pPr>
        <w:spacing w:after="0" w:line="240" w:lineRule="auto"/>
        <w:jc w:val="both"/>
        <w:rPr>
          <w:rFonts w:ascii="Times New Roman" w:hAnsi="Times New Roman"/>
          <w:bCs/>
          <w:sz w:val="24"/>
          <w:szCs w:val="24"/>
          <w:lang w:eastAsia="sk-SK"/>
        </w:rPr>
      </w:pPr>
    </w:p>
    <w:p w:rsidR="00EF500A" w:rsidRDefault="00EF500A" w:rsidP="0029576C">
      <w:pPr>
        <w:spacing w:after="0" w:line="240" w:lineRule="auto"/>
        <w:jc w:val="both"/>
        <w:rPr>
          <w:rFonts w:ascii="Times New Roman" w:hAnsi="Times New Roman"/>
          <w:bCs/>
          <w:sz w:val="24"/>
          <w:szCs w:val="24"/>
          <w:lang w:eastAsia="sk-SK"/>
        </w:rPr>
      </w:pPr>
    </w:p>
    <w:p w:rsidR="00EF500A" w:rsidRDefault="00EF500A" w:rsidP="0029576C">
      <w:pPr>
        <w:spacing w:after="0" w:line="240" w:lineRule="auto"/>
        <w:jc w:val="both"/>
        <w:rPr>
          <w:rFonts w:ascii="Times New Roman" w:hAnsi="Times New Roman"/>
          <w:bCs/>
          <w:sz w:val="24"/>
          <w:szCs w:val="24"/>
          <w:lang w:eastAsia="sk-SK"/>
        </w:rPr>
      </w:pPr>
    </w:p>
    <w:p w:rsidR="00253D78" w:rsidRPr="00460485" w:rsidRDefault="00253D78" w:rsidP="00253D78">
      <w:pPr>
        <w:autoSpaceDE w:val="0"/>
        <w:autoSpaceDN w:val="0"/>
        <w:adjustRightInd w:val="0"/>
        <w:spacing w:after="0" w:line="240" w:lineRule="auto"/>
        <w:jc w:val="center"/>
        <w:rPr>
          <w:rFonts w:ascii="Times New Roman" w:hAnsi="Times New Roman"/>
          <w:b/>
          <w:bCs/>
          <w:sz w:val="28"/>
          <w:szCs w:val="28"/>
        </w:rPr>
      </w:pPr>
      <w:r w:rsidRPr="00460485">
        <w:rPr>
          <w:rFonts w:ascii="Times New Roman" w:hAnsi="Times New Roman"/>
          <w:b/>
          <w:bCs/>
          <w:sz w:val="28"/>
          <w:szCs w:val="28"/>
        </w:rPr>
        <w:lastRenderedPageBreak/>
        <w:t xml:space="preserve">Zoznam </w:t>
      </w:r>
      <w:r>
        <w:rPr>
          <w:rFonts w:ascii="Times New Roman" w:hAnsi="Times New Roman"/>
          <w:b/>
          <w:bCs/>
          <w:sz w:val="28"/>
          <w:szCs w:val="28"/>
        </w:rPr>
        <w:t>iných údajov</w:t>
      </w:r>
      <w:r w:rsidR="00EF500A">
        <w:rPr>
          <w:rStyle w:val="Odkaznapoznmkupodiarou"/>
          <w:rFonts w:ascii="Times New Roman" w:hAnsi="Times New Roman"/>
          <w:b/>
          <w:bCs/>
          <w:sz w:val="28"/>
          <w:szCs w:val="28"/>
        </w:rPr>
        <w:footnoteReference w:id="2"/>
      </w:r>
    </w:p>
    <w:p w:rsidR="00253D78" w:rsidRDefault="00253D78" w:rsidP="0029576C">
      <w:pPr>
        <w:spacing w:after="0" w:line="240" w:lineRule="auto"/>
        <w:jc w:val="both"/>
        <w:rPr>
          <w:rFonts w:ascii="Times New Roman" w:hAnsi="Times New Roman"/>
          <w:bCs/>
          <w:sz w:val="24"/>
          <w:szCs w:val="24"/>
          <w:lang w:eastAsia="sk-SK"/>
        </w:rPr>
      </w:pPr>
    </w:p>
    <w:p w:rsidR="00EF500A" w:rsidRDefault="00EF500A" w:rsidP="0029576C">
      <w:pPr>
        <w:spacing w:after="0" w:line="240" w:lineRule="auto"/>
        <w:jc w:val="both"/>
        <w:rPr>
          <w:rFonts w:ascii="Times New Roman" w:hAnsi="Times New Roman"/>
          <w:bCs/>
          <w:sz w:val="24"/>
          <w:szCs w:val="24"/>
          <w:lang w:eastAsia="sk-SK"/>
        </w:rPr>
      </w:pPr>
    </w:p>
    <w:p w:rsidR="003F2DDD" w:rsidRDefault="003F2DDD" w:rsidP="0029576C">
      <w:pPr>
        <w:spacing w:after="0" w:line="240" w:lineRule="auto"/>
        <w:jc w:val="both"/>
        <w:rPr>
          <w:rFonts w:ascii="Times New Roman" w:hAnsi="Times New Roman"/>
          <w:bCs/>
          <w:sz w:val="24"/>
          <w:szCs w:val="24"/>
          <w:lang w:eastAsia="sk-SK"/>
        </w:rPr>
      </w:pPr>
    </w:p>
    <w:p w:rsidR="00B23F03" w:rsidRDefault="00B23F03" w:rsidP="00B23F03">
      <w:pPr>
        <w:spacing w:after="0" w:line="240" w:lineRule="auto"/>
        <w:jc w:val="both"/>
        <w:rPr>
          <w:rFonts w:ascii="Times New Roman" w:hAnsi="Times New Roman"/>
          <w:bCs/>
          <w:sz w:val="24"/>
          <w:szCs w:val="24"/>
          <w:lang w:eastAsia="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62"/>
        <w:gridCol w:w="1758"/>
      </w:tblGrid>
      <w:tr w:rsidR="00BC52B6" w:rsidRPr="00460485" w:rsidTr="00BC52B6">
        <w:trPr>
          <w:trHeight w:val="368"/>
        </w:trPr>
        <w:tc>
          <w:tcPr>
            <w:tcW w:w="4382" w:type="pct"/>
            <w:tcBorders>
              <w:top w:val="single" w:sz="12" w:space="0" w:color="auto"/>
              <w:left w:val="single" w:sz="12" w:space="0" w:color="auto"/>
              <w:right w:val="single" w:sz="12" w:space="0" w:color="auto"/>
            </w:tcBorders>
            <w:shd w:val="clear" w:color="auto" w:fill="E5DFEC"/>
            <w:vAlign w:val="center"/>
          </w:tcPr>
          <w:p w:rsidR="00BC52B6" w:rsidRPr="00460485" w:rsidRDefault="00BC52B6" w:rsidP="001A23A8">
            <w:pPr>
              <w:spacing w:after="0" w:line="240" w:lineRule="auto"/>
              <w:jc w:val="center"/>
              <w:rPr>
                <w:rFonts w:ascii="Times New Roman" w:hAnsi="Times New Roman"/>
                <w:b/>
                <w:bCs/>
                <w:color w:val="000000"/>
                <w:spacing w:val="-4"/>
                <w:sz w:val="24"/>
                <w:szCs w:val="24"/>
                <w:lang w:eastAsia="sk-SK"/>
              </w:rPr>
            </w:pPr>
            <w:r>
              <w:rPr>
                <w:rFonts w:ascii="Times New Roman" w:hAnsi="Times New Roman"/>
                <w:b/>
                <w:bCs/>
                <w:color w:val="000000"/>
                <w:spacing w:val="-4"/>
                <w:sz w:val="24"/>
                <w:szCs w:val="24"/>
                <w:lang w:eastAsia="sk-SK"/>
              </w:rPr>
              <w:t xml:space="preserve">Iné údaje - kód a názov </w:t>
            </w:r>
          </w:p>
        </w:tc>
        <w:tc>
          <w:tcPr>
            <w:tcW w:w="618" w:type="pct"/>
            <w:vMerge w:val="restart"/>
            <w:tcBorders>
              <w:top w:val="single" w:sz="12" w:space="0" w:color="auto"/>
              <w:left w:val="single" w:sz="12" w:space="0" w:color="auto"/>
              <w:bottom w:val="single" w:sz="12" w:space="0" w:color="auto"/>
              <w:right w:val="single" w:sz="12" w:space="0" w:color="auto"/>
            </w:tcBorders>
            <w:shd w:val="clear" w:color="auto" w:fill="E5DFEC"/>
            <w:vAlign w:val="center"/>
          </w:tcPr>
          <w:p w:rsidR="00BC52B6" w:rsidRPr="00460485" w:rsidRDefault="00BC52B6" w:rsidP="001A23A8">
            <w:pPr>
              <w:spacing w:after="0" w:line="240" w:lineRule="auto"/>
              <w:jc w:val="center"/>
              <w:rPr>
                <w:rFonts w:ascii="Times New Roman" w:hAnsi="Times New Roman"/>
                <w:b/>
                <w:bCs/>
                <w:color w:val="000000"/>
                <w:spacing w:val="-4"/>
                <w:sz w:val="24"/>
                <w:szCs w:val="24"/>
                <w:lang w:eastAsia="sk-SK"/>
              </w:rPr>
            </w:pPr>
            <w:r w:rsidRPr="00460485">
              <w:rPr>
                <w:rFonts w:ascii="Times New Roman" w:hAnsi="Times New Roman"/>
                <w:b/>
                <w:bCs/>
                <w:color w:val="000000"/>
                <w:spacing w:val="-4"/>
                <w:sz w:val="24"/>
                <w:szCs w:val="24"/>
                <w:lang w:eastAsia="sk-SK"/>
              </w:rPr>
              <w:t>Merná jednotka</w:t>
            </w:r>
          </w:p>
        </w:tc>
      </w:tr>
      <w:tr w:rsidR="00BC52B6" w:rsidRPr="00460485" w:rsidTr="00BC52B6">
        <w:trPr>
          <w:trHeight w:val="367"/>
        </w:trPr>
        <w:tc>
          <w:tcPr>
            <w:tcW w:w="4382" w:type="pct"/>
            <w:tcBorders>
              <w:left w:val="single" w:sz="12" w:space="0" w:color="auto"/>
              <w:bottom w:val="single" w:sz="12" w:space="0" w:color="auto"/>
              <w:right w:val="single" w:sz="12" w:space="0" w:color="auto"/>
            </w:tcBorders>
            <w:shd w:val="clear" w:color="auto" w:fill="E5DFEC"/>
            <w:vAlign w:val="center"/>
          </w:tcPr>
          <w:p w:rsidR="00BC52B6" w:rsidRPr="00460485" w:rsidRDefault="00BC52B6" w:rsidP="001A23A8">
            <w:pPr>
              <w:spacing w:after="0" w:line="240" w:lineRule="auto"/>
              <w:jc w:val="center"/>
              <w:rPr>
                <w:rFonts w:ascii="Times New Roman" w:hAnsi="Times New Roman"/>
                <w:b/>
                <w:bCs/>
                <w:color w:val="000000"/>
                <w:spacing w:val="-4"/>
                <w:sz w:val="24"/>
                <w:szCs w:val="24"/>
                <w:lang w:eastAsia="sk-SK"/>
              </w:rPr>
            </w:pPr>
            <w:r w:rsidRPr="00460485">
              <w:rPr>
                <w:rFonts w:ascii="Times New Roman" w:hAnsi="Times New Roman"/>
                <w:b/>
                <w:bCs/>
                <w:color w:val="000000"/>
                <w:spacing w:val="-4"/>
                <w:sz w:val="24"/>
                <w:szCs w:val="24"/>
                <w:lang w:eastAsia="sk-SK"/>
              </w:rPr>
              <w:t>Definícia</w:t>
            </w:r>
          </w:p>
        </w:tc>
        <w:tc>
          <w:tcPr>
            <w:tcW w:w="618" w:type="pct"/>
            <w:vMerge/>
            <w:tcBorders>
              <w:left w:val="single" w:sz="12" w:space="0" w:color="auto"/>
              <w:bottom w:val="single" w:sz="12" w:space="0" w:color="auto"/>
              <w:right w:val="single" w:sz="12" w:space="0" w:color="auto"/>
            </w:tcBorders>
            <w:shd w:val="clear" w:color="auto" w:fill="E5DFEC"/>
            <w:vAlign w:val="center"/>
          </w:tcPr>
          <w:p w:rsidR="00BC52B6" w:rsidRPr="00460485" w:rsidRDefault="00BC52B6" w:rsidP="001A23A8">
            <w:pPr>
              <w:spacing w:after="0" w:line="240" w:lineRule="auto"/>
              <w:jc w:val="center"/>
              <w:rPr>
                <w:rFonts w:ascii="Times New Roman" w:hAnsi="Times New Roman"/>
                <w:b/>
                <w:bCs/>
                <w:color w:val="000000"/>
                <w:spacing w:val="-4"/>
                <w:sz w:val="24"/>
                <w:szCs w:val="24"/>
                <w:lang w:eastAsia="sk-SK"/>
              </w:rPr>
            </w:pPr>
          </w:p>
        </w:tc>
      </w:tr>
      <w:tr w:rsidR="00BC52B6" w:rsidRPr="00A7351A" w:rsidTr="00BC52B6">
        <w:tc>
          <w:tcPr>
            <w:tcW w:w="4382" w:type="pct"/>
            <w:tcBorders>
              <w:left w:val="single" w:sz="12" w:space="0" w:color="auto"/>
              <w:right w:val="single" w:sz="12" w:space="0" w:color="auto"/>
            </w:tcBorders>
          </w:tcPr>
          <w:p w:rsidR="00BC52B6" w:rsidRDefault="00BC52B6" w:rsidP="005F6E20">
            <w:pPr>
              <w:spacing w:after="0" w:line="240" w:lineRule="auto"/>
              <w:rPr>
                <w:rFonts w:ascii="Times New Roman" w:hAnsi="Times New Roman"/>
                <w:b/>
                <w:bCs/>
                <w:color w:val="000000"/>
                <w:sz w:val="24"/>
                <w:szCs w:val="24"/>
                <w:lang w:eastAsia="sk-SK"/>
              </w:rPr>
            </w:pPr>
            <w:r w:rsidRPr="005F6E20">
              <w:rPr>
                <w:rFonts w:ascii="Times New Roman" w:hAnsi="Times New Roman"/>
                <w:b/>
                <w:bCs/>
                <w:color w:val="000000"/>
                <w:sz w:val="24"/>
                <w:szCs w:val="24"/>
                <w:lang w:eastAsia="sk-SK"/>
              </w:rPr>
              <w:t>D0262 Mzda mužov refundovaná z projektu (medián)</w:t>
            </w:r>
          </w:p>
          <w:p w:rsidR="00BC52B6" w:rsidRPr="005F6E20" w:rsidRDefault="00BC52B6" w:rsidP="005F6E20">
            <w:pPr>
              <w:spacing w:after="0" w:line="240" w:lineRule="auto"/>
              <w:rPr>
                <w:rFonts w:ascii="Times New Roman" w:hAnsi="Times New Roman"/>
                <w:b/>
                <w:bCs/>
                <w:color w:val="000000"/>
                <w:sz w:val="24"/>
                <w:szCs w:val="24"/>
                <w:lang w:eastAsia="sk-SK"/>
              </w:rPr>
            </w:pPr>
          </w:p>
          <w:p w:rsidR="00BC52B6" w:rsidRPr="005F6E20" w:rsidRDefault="00BC52B6" w:rsidP="005F6E20">
            <w:pPr>
              <w:spacing w:after="0" w:line="240" w:lineRule="auto"/>
              <w:rPr>
                <w:rFonts w:ascii="Times New Roman" w:hAnsi="Times New Roman"/>
                <w:bCs/>
                <w:color w:val="000000"/>
                <w:sz w:val="24"/>
                <w:szCs w:val="24"/>
                <w:lang w:eastAsia="sk-SK"/>
              </w:rPr>
            </w:pPr>
            <w:r w:rsidRPr="005F6E20">
              <w:rPr>
                <w:rFonts w:ascii="Times New Roman" w:hAnsi="Times New Roman"/>
                <w:b/>
                <w:bCs/>
                <w:color w:val="000000"/>
                <w:sz w:val="24"/>
                <w:szCs w:val="24"/>
                <w:lang w:eastAsia="sk-SK"/>
              </w:rPr>
              <w:t>Definícia:</w:t>
            </w:r>
            <w:r w:rsidRPr="005F6E20">
              <w:rPr>
                <w:rFonts w:ascii="Times New Roman" w:hAnsi="Times New Roman"/>
                <w:bCs/>
                <w:color w:val="000000"/>
                <w:sz w:val="24"/>
                <w:szCs w:val="24"/>
                <w:lang w:eastAsia="sk-SK"/>
              </w:rPr>
              <w:t xml:space="preserve"> Údaj vyjadruje medián (strednú hodnotu) priemerných mesačných miezd mužov, refundovanú z projektu. Do údaju sa nezahŕňa mzda osôb, s ktorými bola uzavretá niektorá z dohôd o prácach vykonávanej mimo pracovného pomeru, mzda učňov a študentov na prevádzkovej praxi, príjem súkromných podnikateľov (resp. ich spoločníkov), ktorí nemajú uzavretú pracovnú zmluvu v danej organizácii.</w:t>
            </w:r>
          </w:p>
          <w:p w:rsidR="00BC52B6" w:rsidRPr="001A23A8" w:rsidRDefault="00BC52B6" w:rsidP="005F6E20">
            <w:pPr>
              <w:spacing w:after="0" w:line="240" w:lineRule="auto"/>
              <w:contextualSpacing/>
              <w:rPr>
                <w:rFonts w:ascii="Times New Roman" w:hAnsi="Times New Roman"/>
                <w:b/>
                <w:bCs/>
                <w:color w:val="000000"/>
                <w:sz w:val="24"/>
                <w:szCs w:val="24"/>
                <w:lang w:eastAsia="sk-SK"/>
              </w:rPr>
            </w:pPr>
            <w:r w:rsidRPr="005F6E20">
              <w:rPr>
                <w:rFonts w:ascii="Times New Roman" w:hAnsi="Times New Roman"/>
                <w:bCs/>
                <w:color w:val="000000"/>
                <w:sz w:val="24"/>
                <w:szCs w:val="24"/>
                <w:lang w:eastAsia="sk-SK"/>
              </w:rPr>
              <w:t>Metóda výpočtu na úrovni projektu: Medián priemerných mesačných hrubých miezd za všetkých  pracovníkov (priemerná mesačná hrubá mzda pracovníka sa vypočíta ako aritmetický priemer mesačných hrubých miezd za odpracované/refundované obdobie), ktorým mzda bola refundovaná počas projektu.</w:t>
            </w:r>
          </w:p>
        </w:tc>
        <w:tc>
          <w:tcPr>
            <w:tcW w:w="618" w:type="pct"/>
            <w:tcBorders>
              <w:left w:val="single" w:sz="12" w:space="0" w:color="auto"/>
            </w:tcBorders>
            <w:vAlign w:val="center"/>
          </w:tcPr>
          <w:p w:rsidR="00BC52B6" w:rsidRPr="00460485" w:rsidRDefault="00BC52B6" w:rsidP="001A23A8">
            <w:pPr>
              <w:spacing w:after="0" w:line="240" w:lineRule="auto"/>
              <w:jc w:val="center"/>
              <w:rPr>
                <w:rFonts w:ascii="Times New Roman" w:hAnsi="Times New Roman"/>
                <w:sz w:val="24"/>
                <w:szCs w:val="24"/>
                <w:lang w:eastAsia="sk-SK"/>
              </w:rPr>
            </w:pPr>
            <w:r>
              <w:rPr>
                <w:rFonts w:ascii="Times New Roman" w:hAnsi="Times New Roman"/>
                <w:sz w:val="24"/>
                <w:szCs w:val="24"/>
                <w:lang w:eastAsia="sk-SK"/>
              </w:rPr>
              <w:t>EUR</w:t>
            </w:r>
          </w:p>
        </w:tc>
      </w:tr>
      <w:tr w:rsidR="00BC52B6" w:rsidRPr="00A7351A" w:rsidTr="00BC52B6">
        <w:tc>
          <w:tcPr>
            <w:tcW w:w="4382" w:type="pct"/>
            <w:tcBorders>
              <w:left w:val="single" w:sz="12" w:space="0" w:color="auto"/>
              <w:right w:val="single" w:sz="12" w:space="0" w:color="auto"/>
            </w:tcBorders>
          </w:tcPr>
          <w:p w:rsidR="00BC52B6" w:rsidRDefault="00BC52B6" w:rsidP="005F6E20">
            <w:pPr>
              <w:spacing w:after="0" w:line="240" w:lineRule="auto"/>
              <w:contextualSpacing/>
              <w:rPr>
                <w:rFonts w:ascii="Times New Roman" w:hAnsi="Times New Roman"/>
                <w:b/>
                <w:bCs/>
                <w:color w:val="000000"/>
                <w:sz w:val="24"/>
                <w:szCs w:val="24"/>
                <w:lang w:eastAsia="sk-SK"/>
              </w:rPr>
            </w:pPr>
            <w:r w:rsidRPr="005F6E20">
              <w:rPr>
                <w:rFonts w:ascii="Times New Roman" w:hAnsi="Times New Roman"/>
                <w:b/>
                <w:bCs/>
                <w:color w:val="000000"/>
                <w:sz w:val="24"/>
                <w:szCs w:val="24"/>
                <w:lang w:eastAsia="sk-SK"/>
              </w:rPr>
              <w:t>D0264 Mzda žien refundovaná z projektu (medián)</w:t>
            </w:r>
          </w:p>
          <w:p w:rsidR="00BC52B6" w:rsidRPr="005F6E20" w:rsidRDefault="00BC52B6" w:rsidP="005F6E20">
            <w:pPr>
              <w:spacing w:after="0" w:line="240" w:lineRule="auto"/>
              <w:contextualSpacing/>
              <w:rPr>
                <w:rFonts w:ascii="Times New Roman" w:hAnsi="Times New Roman"/>
                <w:b/>
                <w:bCs/>
                <w:color w:val="000000"/>
                <w:sz w:val="24"/>
                <w:szCs w:val="24"/>
                <w:lang w:eastAsia="sk-SK"/>
              </w:rPr>
            </w:pPr>
          </w:p>
          <w:p w:rsidR="00BC52B6" w:rsidRPr="005F6E20" w:rsidRDefault="00BC52B6" w:rsidP="005F6E20">
            <w:pPr>
              <w:spacing w:after="0" w:line="240" w:lineRule="auto"/>
              <w:contextualSpacing/>
              <w:rPr>
                <w:rFonts w:ascii="Times New Roman" w:hAnsi="Times New Roman"/>
                <w:bCs/>
                <w:color w:val="000000"/>
                <w:sz w:val="24"/>
                <w:szCs w:val="24"/>
                <w:lang w:eastAsia="sk-SK"/>
              </w:rPr>
            </w:pPr>
            <w:r w:rsidRPr="005F6E20">
              <w:rPr>
                <w:rFonts w:ascii="Times New Roman" w:hAnsi="Times New Roman"/>
                <w:b/>
                <w:bCs/>
                <w:color w:val="000000"/>
                <w:sz w:val="24"/>
                <w:szCs w:val="24"/>
                <w:lang w:eastAsia="sk-SK"/>
              </w:rPr>
              <w:t>Definícia:</w:t>
            </w:r>
            <w:r w:rsidRPr="005F6E20">
              <w:rPr>
                <w:rFonts w:ascii="Times New Roman" w:hAnsi="Times New Roman"/>
                <w:bCs/>
                <w:color w:val="000000"/>
                <w:sz w:val="24"/>
                <w:szCs w:val="24"/>
                <w:lang w:eastAsia="sk-SK"/>
              </w:rPr>
              <w:t xml:space="preserve"> Údaj vyjadruje medián (strednú hodnotu) priemerných mesačných miezd žien, refundovanú z projektu. Do údaju sa nezahŕňa mzda osôb, s ktorými bola uzavretá niektorá z dohôd o prácach vykonávanej mimo pracovného pomeru, mzda učníc a študentiek na prevádzkovej praxi, príjem súkromných podnikateliek (resp. ich spoločníkov, spoločníčok), ktoré nemajú uzavretú pracovnú zmluvu v danej organizácii. </w:t>
            </w:r>
          </w:p>
          <w:p w:rsidR="00BC52B6" w:rsidRPr="001A23A8" w:rsidRDefault="00BC52B6" w:rsidP="005F6E20">
            <w:pPr>
              <w:spacing w:after="0" w:line="240" w:lineRule="auto"/>
              <w:contextualSpacing/>
              <w:rPr>
                <w:rFonts w:ascii="Times New Roman" w:hAnsi="Times New Roman"/>
                <w:b/>
                <w:bCs/>
                <w:color w:val="000000"/>
                <w:sz w:val="24"/>
                <w:szCs w:val="24"/>
                <w:lang w:eastAsia="sk-SK"/>
              </w:rPr>
            </w:pPr>
            <w:r w:rsidRPr="005F6E20">
              <w:rPr>
                <w:rFonts w:ascii="Times New Roman" w:hAnsi="Times New Roman"/>
                <w:bCs/>
                <w:color w:val="000000"/>
                <w:sz w:val="24"/>
                <w:szCs w:val="24"/>
                <w:lang w:eastAsia="sk-SK"/>
              </w:rPr>
              <w:t>Metóda výpočtu na úrovni projektu: Medián priemerných mesačných hrubých miezd za všetky pracovníčky (priemerná mesačná hrubá mzda pracovníčky sa vypočíta ako aritmetický priemer mesačných hrubých miezd za odpracované/refundované obdobie), ktorým mzda bola refundovaná počas projektu.</w:t>
            </w:r>
          </w:p>
        </w:tc>
        <w:tc>
          <w:tcPr>
            <w:tcW w:w="618" w:type="pct"/>
            <w:tcBorders>
              <w:left w:val="single" w:sz="12" w:space="0" w:color="auto"/>
            </w:tcBorders>
            <w:vAlign w:val="center"/>
          </w:tcPr>
          <w:p w:rsidR="00BC52B6" w:rsidRPr="00460485" w:rsidRDefault="00BC52B6" w:rsidP="001A23A8">
            <w:pPr>
              <w:spacing w:after="0" w:line="240" w:lineRule="auto"/>
              <w:jc w:val="center"/>
              <w:rPr>
                <w:rFonts w:ascii="Times New Roman" w:hAnsi="Times New Roman"/>
                <w:sz w:val="24"/>
                <w:szCs w:val="24"/>
                <w:lang w:eastAsia="sk-SK"/>
              </w:rPr>
            </w:pPr>
            <w:r>
              <w:rPr>
                <w:rFonts w:ascii="Times New Roman" w:hAnsi="Times New Roman"/>
                <w:sz w:val="24"/>
                <w:szCs w:val="24"/>
                <w:lang w:eastAsia="sk-SK"/>
              </w:rPr>
              <w:t>EUR</w:t>
            </w:r>
          </w:p>
        </w:tc>
      </w:tr>
    </w:tbl>
    <w:p w:rsidR="00B23F03" w:rsidRDefault="00B23F03" w:rsidP="00BC52B6">
      <w:pPr>
        <w:spacing w:after="0" w:line="240" w:lineRule="auto"/>
        <w:jc w:val="both"/>
        <w:rPr>
          <w:rFonts w:ascii="Times New Roman" w:hAnsi="Times New Roman"/>
          <w:bCs/>
          <w:sz w:val="24"/>
          <w:szCs w:val="24"/>
          <w:lang w:eastAsia="sk-SK"/>
        </w:rPr>
      </w:pPr>
    </w:p>
    <w:sectPr w:rsidR="00B23F03" w:rsidSect="00921CBC">
      <w:headerReference w:type="even" r:id="rId9"/>
      <w:headerReference w:type="default" r:id="rId10"/>
      <w:footerReference w:type="even" r:id="rId11"/>
      <w:footerReference w:type="default" r:id="rId12"/>
      <w:headerReference w:type="first" r:id="rId13"/>
      <w:footerReference w:type="first" r:id="rId14"/>
      <w:pgSz w:w="16838" w:h="11906" w:orient="landscape"/>
      <w:pgMar w:top="1417" w:right="1417" w:bottom="1417" w:left="1417" w:header="708" w:footer="708"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F2B" w:rsidRDefault="00D55F2B" w:rsidP="001C146B">
      <w:pPr>
        <w:spacing w:after="0" w:line="240" w:lineRule="auto"/>
      </w:pPr>
      <w:r>
        <w:separator/>
      </w:r>
    </w:p>
  </w:endnote>
  <w:endnote w:type="continuationSeparator" w:id="0">
    <w:p w:rsidR="00D55F2B" w:rsidRDefault="00D55F2B" w:rsidP="001C1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altName w:val="Century Gothic"/>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3A8" w:rsidRDefault="001A23A8">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3A8" w:rsidRPr="00BA4CEC" w:rsidRDefault="001A23A8">
    <w:pPr>
      <w:pStyle w:val="Pta"/>
      <w:jc w:val="right"/>
      <w:rPr>
        <w:sz w:val="18"/>
        <w:szCs w:val="18"/>
      </w:rPr>
    </w:pPr>
    <w:r w:rsidRPr="00BA4CEC">
      <w:rPr>
        <w:sz w:val="18"/>
        <w:szCs w:val="18"/>
      </w:rPr>
      <w:t xml:space="preserve">Strana </w:t>
    </w:r>
    <w:r w:rsidRPr="00BA4CEC">
      <w:rPr>
        <w:bCs/>
        <w:sz w:val="18"/>
        <w:szCs w:val="18"/>
      </w:rPr>
      <w:fldChar w:fldCharType="begin"/>
    </w:r>
    <w:r w:rsidRPr="00BA4CEC">
      <w:rPr>
        <w:bCs/>
        <w:sz w:val="18"/>
        <w:szCs w:val="18"/>
      </w:rPr>
      <w:instrText xml:space="preserve"> PAGE  \* Arabic </w:instrText>
    </w:r>
    <w:r w:rsidRPr="00BA4CEC">
      <w:rPr>
        <w:bCs/>
        <w:sz w:val="18"/>
        <w:szCs w:val="18"/>
      </w:rPr>
      <w:fldChar w:fldCharType="separate"/>
    </w:r>
    <w:r w:rsidR="00C1229B">
      <w:rPr>
        <w:bCs/>
        <w:noProof/>
        <w:sz w:val="18"/>
        <w:szCs w:val="18"/>
      </w:rPr>
      <w:t>2</w:t>
    </w:r>
    <w:r w:rsidRPr="00BA4CEC">
      <w:rPr>
        <w:bCs/>
        <w:sz w:val="18"/>
        <w:szCs w:val="18"/>
      </w:rPr>
      <w:fldChar w:fldCharType="end"/>
    </w:r>
    <w:r w:rsidRPr="00BA4CEC">
      <w:rPr>
        <w:sz w:val="18"/>
        <w:szCs w:val="18"/>
      </w:rPr>
      <w:t xml:space="preserve"> z </w:t>
    </w:r>
    <w:r w:rsidRPr="00BA4CEC">
      <w:rPr>
        <w:bCs/>
        <w:sz w:val="18"/>
        <w:szCs w:val="18"/>
      </w:rPr>
      <w:fldChar w:fldCharType="begin"/>
    </w:r>
    <w:r w:rsidRPr="00BA4CEC">
      <w:rPr>
        <w:bCs/>
        <w:sz w:val="18"/>
        <w:szCs w:val="18"/>
      </w:rPr>
      <w:instrText>NUMPAGES</w:instrText>
    </w:r>
    <w:r w:rsidRPr="00BA4CEC">
      <w:rPr>
        <w:bCs/>
        <w:sz w:val="18"/>
        <w:szCs w:val="18"/>
      </w:rPr>
      <w:fldChar w:fldCharType="separate"/>
    </w:r>
    <w:r w:rsidR="00C1229B">
      <w:rPr>
        <w:bCs/>
        <w:noProof/>
        <w:sz w:val="18"/>
        <w:szCs w:val="18"/>
      </w:rPr>
      <w:t>4</w:t>
    </w:r>
    <w:r w:rsidRPr="00BA4CEC">
      <w:rPr>
        <w:bCs/>
        <w:sz w:val="18"/>
        <w:szCs w:val="18"/>
      </w:rPr>
      <w:fldChar w:fldCharType="end"/>
    </w:r>
  </w:p>
  <w:p w:rsidR="001A23A8" w:rsidRDefault="001A23A8" w:rsidP="00921CBC">
    <w:pPr>
      <w:pStyle w:val="Pt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3A8" w:rsidRDefault="001A23A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F2B" w:rsidRDefault="00D55F2B" w:rsidP="001C146B">
      <w:pPr>
        <w:spacing w:after="0" w:line="240" w:lineRule="auto"/>
      </w:pPr>
      <w:r>
        <w:separator/>
      </w:r>
    </w:p>
  </w:footnote>
  <w:footnote w:type="continuationSeparator" w:id="0">
    <w:p w:rsidR="00D55F2B" w:rsidRDefault="00D55F2B" w:rsidP="001C146B">
      <w:pPr>
        <w:spacing w:after="0" w:line="240" w:lineRule="auto"/>
      </w:pPr>
      <w:r>
        <w:continuationSeparator/>
      </w:r>
    </w:p>
  </w:footnote>
  <w:footnote w:id="1">
    <w:p w:rsidR="0002744A" w:rsidRDefault="001A23A8" w:rsidP="0046740B">
      <w:pPr>
        <w:pStyle w:val="Textpoznmkypodiarou"/>
      </w:pPr>
      <w:r w:rsidRPr="00BB16D5">
        <w:rPr>
          <w:rStyle w:val="Odkaznapoznmkupodiarou"/>
          <w:rFonts w:ascii="Arial Narrow" w:hAnsi="Arial Narrow"/>
          <w:sz w:val="16"/>
          <w:szCs w:val="16"/>
        </w:rPr>
        <w:footnoteRef/>
      </w:r>
      <w:r w:rsidRPr="00BB16D5">
        <w:rPr>
          <w:rFonts w:ascii="Arial Narrow" w:hAnsi="Arial Narrow"/>
          <w:sz w:val="16"/>
          <w:szCs w:val="16"/>
        </w:rPr>
        <w:t xml:space="preserve"> </w:t>
      </w:r>
      <w:r w:rsidRPr="006D5A28">
        <w:rPr>
          <w:rFonts w:cs="Calibri"/>
        </w:rPr>
        <w:t xml:space="preserve">Definovanie merateľného ukazovateľa s príznakom/ bez príznaku je uvedené v rámci </w:t>
      </w:r>
      <w:r w:rsidRPr="006D5A28">
        <w:rPr>
          <w:rFonts w:cs="Calibri"/>
          <w:i/>
        </w:rPr>
        <w:t>Príručky pre žiadateľa o nenávratný finančný príspevok v rámci výziev na predkladanie žiadostí o NFP pre dopytovo - orientované projekty a vyzvaní pre národné projekty (pre prioritné osi 2, 3, 4) Programové obdobie 2014 – 2020.</w:t>
      </w:r>
    </w:p>
  </w:footnote>
  <w:footnote w:id="2">
    <w:p w:rsidR="00EF500A" w:rsidRDefault="00EF500A" w:rsidP="00EF500A">
      <w:pPr>
        <w:spacing w:after="0" w:line="240" w:lineRule="auto"/>
        <w:jc w:val="both"/>
        <w:rPr>
          <w:rFonts w:ascii="Times New Roman" w:hAnsi="Times New Roman"/>
          <w:bCs/>
          <w:sz w:val="24"/>
          <w:szCs w:val="24"/>
          <w:lang w:eastAsia="sk-SK"/>
        </w:rPr>
      </w:pPr>
      <w:r>
        <w:rPr>
          <w:rStyle w:val="Odkaznapoznmkupodiarou"/>
        </w:rPr>
        <w:footnoteRef/>
      </w:r>
      <w:r>
        <w:t xml:space="preserve"> </w:t>
      </w:r>
      <w:r w:rsidRPr="003F2DDD">
        <w:rPr>
          <w:rFonts w:ascii="Times New Roman" w:hAnsi="Times New Roman"/>
          <w:bCs/>
          <w:sz w:val="24"/>
          <w:szCs w:val="24"/>
          <w:lang w:eastAsia="sk-SK"/>
        </w:rPr>
        <w:t xml:space="preserve">Iné údaje sú údaje, resp. parametre (iné ako merateľné ukazovatele projektu), ktoré poskytuje žiadateľ výlučne počas implementácie projektu, resp. v rámci udržateľnosti projektu v zmysle zmluvy o poskytnutí NFP. Žiadateľ pri vypĺňaní </w:t>
      </w:r>
      <w:proofErr w:type="spellStart"/>
      <w:r w:rsidRPr="003F2DDD">
        <w:rPr>
          <w:rFonts w:ascii="Times New Roman" w:hAnsi="Times New Roman"/>
          <w:bCs/>
          <w:sz w:val="24"/>
          <w:szCs w:val="24"/>
          <w:lang w:eastAsia="sk-SK"/>
        </w:rPr>
        <w:t>ŽoNFP</w:t>
      </w:r>
      <w:proofErr w:type="spellEnd"/>
      <w:r w:rsidRPr="003F2DDD">
        <w:rPr>
          <w:rFonts w:ascii="Times New Roman" w:hAnsi="Times New Roman"/>
          <w:bCs/>
          <w:sz w:val="24"/>
          <w:szCs w:val="24"/>
          <w:lang w:eastAsia="sk-SK"/>
        </w:rPr>
        <w:t xml:space="preserve"> nestanovuje cieľovú hodnotu iných údajov a ani iné údaje neuvádza vo formulári </w:t>
      </w:r>
      <w:proofErr w:type="spellStart"/>
      <w:r w:rsidRPr="003F2DDD">
        <w:rPr>
          <w:rFonts w:ascii="Times New Roman" w:hAnsi="Times New Roman"/>
          <w:bCs/>
          <w:sz w:val="24"/>
          <w:szCs w:val="24"/>
          <w:lang w:eastAsia="sk-SK"/>
        </w:rPr>
        <w:t>ŽoNFP</w:t>
      </w:r>
      <w:proofErr w:type="spellEnd"/>
      <w:r w:rsidRPr="003F2DDD">
        <w:rPr>
          <w:rFonts w:ascii="Times New Roman" w:hAnsi="Times New Roman"/>
          <w:bCs/>
          <w:sz w:val="24"/>
          <w:szCs w:val="24"/>
          <w:lang w:eastAsia="sk-SK"/>
        </w:rPr>
        <w:t xml:space="preserve">, ani v žiadnej z príloh </w:t>
      </w:r>
      <w:proofErr w:type="spellStart"/>
      <w:r w:rsidRPr="003F2DDD">
        <w:rPr>
          <w:rFonts w:ascii="Times New Roman" w:hAnsi="Times New Roman"/>
          <w:bCs/>
          <w:sz w:val="24"/>
          <w:szCs w:val="24"/>
          <w:lang w:eastAsia="sk-SK"/>
        </w:rPr>
        <w:t>ŽoNFP</w:t>
      </w:r>
      <w:proofErr w:type="spellEnd"/>
      <w:r w:rsidRPr="003F2DDD">
        <w:rPr>
          <w:rFonts w:ascii="Times New Roman" w:hAnsi="Times New Roman"/>
          <w:bCs/>
          <w:sz w:val="24"/>
          <w:szCs w:val="24"/>
          <w:lang w:eastAsia="sk-SK"/>
        </w:rPr>
        <w:t>.</w:t>
      </w:r>
    </w:p>
    <w:p w:rsidR="00EF500A" w:rsidRDefault="00EF500A">
      <w:pPr>
        <w:pStyle w:val="Textpoznmkypodi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3A8" w:rsidRDefault="001A23A8">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3A8" w:rsidRPr="001C146B" w:rsidRDefault="00196058" w:rsidP="001C146B">
    <w:pPr>
      <w:pStyle w:val="Hlavika"/>
      <w:tabs>
        <w:tab w:val="clear" w:pos="4536"/>
      </w:tabs>
      <w:jc w:val="center"/>
      <w:rPr>
        <w:rFonts w:ascii="Times New Roman" w:hAnsi="Times New Roman"/>
        <w:sz w:val="24"/>
        <w:szCs w:val="24"/>
      </w:rPr>
    </w:pPr>
    <w:r>
      <w:rPr>
        <w:noProof/>
        <w:lang w:eastAsia="sk-SK"/>
      </w:rPr>
      <mc:AlternateContent>
        <mc:Choice Requires="wps">
          <w:drawing>
            <wp:anchor distT="0" distB="0" distL="114300" distR="114300" simplePos="0" relativeHeight="251657728" behindDoc="0" locked="0" layoutInCell="1" allowOverlap="1" wp14:anchorId="3CEE9F6E" wp14:editId="29671F8C">
              <wp:simplePos x="0" y="0"/>
              <wp:positionH relativeFrom="column">
                <wp:posOffset>-80645</wp:posOffset>
              </wp:positionH>
              <wp:positionV relativeFrom="paragraph">
                <wp:posOffset>561975</wp:posOffset>
              </wp:positionV>
              <wp:extent cx="6115050" cy="9525"/>
              <wp:effectExtent l="0" t="0" r="19050" b="28575"/>
              <wp:wrapNone/>
              <wp:docPr id="2" name="Rovná spojovacia šípk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9525"/>
                      </a:xfrm>
                      <a:prstGeom prst="straightConnector1">
                        <a:avLst/>
                      </a:prstGeom>
                      <a:noFill/>
                      <a:ln w="9525">
                        <a:solidFill>
                          <a:srgbClr val="FBD4B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Rovná spojovacia šípka 2" o:spid="_x0000_s1026" type="#_x0000_t32" style="position:absolute;margin-left:-6.35pt;margin-top:44.25pt;width:481.5pt;height:.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" strokecolor="#fbd4b4"/>
          </w:pict>
        </mc:Fallback>
      </mc:AlternateContent>
    </w:r>
    <w:r>
      <w:rPr>
        <w:noProof/>
        <w:lang w:eastAsia="sk-SK"/>
      </w:rPr>
      <w:drawing>
        <wp:inline distT="0" distB="0" distL="0" distR="0" wp14:anchorId="7431F681" wp14:editId="3BCA98FE">
          <wp:extent cx="5741670" cy="382905"/>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1670" cy="38290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3A8" w:rsidRDefault="001A23A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833617"/>
    <w:multiLevelType w:val="hybridMultilevel"/>
    <w:tmpl w:val="7DD444E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3C808B0"/>
    <w:multiLevelType w:val="hybridMultilevel"/>
    <w:tmpl w:val="5D304BE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3DEE2344"/>
    <w:multiLevelType w:val="hybridMultilevel"/>
    <w:tmpl w:val="DA1A91B8"/>
    <w:lvl w:ilvl="0" w:tplc="C33ED592">
      <w:start w:val="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55C11791"/>
    <w:multiLevelType w:val="hybridMultilevel"/>
    <w:tmpl w:val="9C468FF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5CDF3197"/>
    <w:multiLevelType w:val="hybridMultilevel"/>
    <w:tmpl w:val="B0F095E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nsid w:val="6B3F11A9"/>
    <w:multiLevelType w:val="hybridMultilevel"/>
    <w:tmpl w:val="0F42C0C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7BEC4E22"/>
    <w:multiLevelType w:val="hybridMultilevel"/>
    <w:tmpl w:val="659A1A1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6"/>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BEE"/>
    <w:rsid w:val="00006225"/>
    <w:rsid w:val="000101B2"/>
    <w:rsid w:val="00024786"/>
    <w:rsid w:val="0002744A"/>
    <w:rsid w:val="00034D8E"/>
    <w:rsid w:val="00053888"/>
    <w:rsid w:val="000751EC"/>
    <w:rsid w:val="000850BE"/>
    <w:rsid w:val="0009340B"/>
    <w:rsid w:val="00097E73"/>
    <w:rsid w:val="000A329D"/>
    <w:rsid w:val="000A5563"/>
    <w:rsid w:val="000B69C0"/>
    <w:rsid w:val="000C10CC"/>
    <w:rsid w:val="000C3663"/>
    <w:rsid w:val="000D6EF1"/>
    <w:rsid w:val="000D7BCB"/>
    <w:rsid w:val="000F7886"/>
    <w:rsid w:val="00114CCC"/>
    <w:rsid w:val="00124B9F"/>
    <w:rsid w:val="00124CA9"/>
    <w:rsid w:val="00127A1F"/>
    <w:rsid w:val="00167D65"/>
    <w:rsid w:val="001732CF"/>
    <w:rsid w:val="00196058"/>
    <w:rsid w:val="0019768E"/>
    <w:rsid w:val="001A23A8"/>
    <w:rsid w:val="001A73F5"/>
    <w:rsid w:val="001C0F68"/>
    <w:rsid w:val="001C146B"/>
    <w:rsid w:val="001E1E99"/>
    <w:rsid w:val="001E74B6"/>
    <w:rsid w:val="001F3331"/>
    <w:rsid w:val="0022141D"/>
    <w:rsid w:val="002437F8"/>
    <w:rsid w:val="00253D78"/>
    <w:rsid w:val="0029576C"/>
    <w:rsid w:val="002C7E40"/>
    <w:rsid w:val="002D0257"/>
    <w:rsid w:val="002D5457"/>
    <w:rsid w:val="002E2687"/>
    <w:rsid w:val="00301988"/>
    <w:rsid w:val="00305E35"/>
    <w:rsid w:val="00307D1F"/>
    <w:rsid w:val="0031440E"/>
    <w:rsid w:val="003525EB"/>
    <w:rsid w:val="003A59BE"/>
    <w:rsid w:val="003B4168"/>
    <w:rsid w:val="003B5A74"/>
    <w:rsid w:val="003B6ECC"/>
    <w:rsid w:val="003C1C8A"/>
    <w:rsid w:val="003C692A"/>
    <w:rsid w:val="003C74B2"/>
    <w:rsid w:val="003D5E8E"/>
    <w:rsid w:val="003E1361"/>
    <w:rsid w:val="003E51C7"/>
    <w:rsid w:val="003E7EB3"/>
    <w:rsid w:val="003F0C40"/>
    <w:rsid w:val="003F2DDD"/>
    <w:rsid w:val="003F3FB1"/>
    <w:rsid w:val="00411E47"/>
    <w:rsid w:val="0041569A"/>
    <w:rsid w:val="00442440"/>
    <w:rsid w:val="00446A37"/>
    <w:rsid w:val="00447D73"/>
    <w:rsid w:val="00451D01"/>
    <w:rsid w:val="004542E0"/>
    <w:rsid w:val="00457939"/>
    <w:rsid w:val="00460485"/>
    <w:rsid w:val="00465FAD"/>
    <w:rsid w:val="0046740B"/>
    <w:rsid w:val="00476F4A"/>
    <w:rsid w:val="00484364"/>
    <w:rsid w:val="0049138D"/>
    <w:rsid w:val="00495BB8"/>
    <w:rsid w:val="004B14DF"/>
    <w:rsid w:val="004C3CAD"/>
    <w:rsid w:val="004D2AC5"/>
    <w:rsid w:val="004E0943"/>
    <w:rsid w:val="004F6E1E"/>
    <w:rsid w:val="00526615"/>
    <w:rsid w:val="00536C76"/>
    <w:rsid w:val="00537F3A"/>
    <w:rsid w:val="005566A7"/>
    <w:rsid w:val="00561E46"/>
    <w:rsid w:val="00563DE1"/>
    <w:rsid w:val="0059077A"/>
    <w:rsid w:val="005B3617"/>
    <w:rsid w:val="005F229F"/>
    <w:rsid w:val="005F6E20"/>
    <w:rsid w:val="00600770"/>
    <w:rsid w:val="00604B57"/>
    <w:rsid w:val="006118EC"/>
    <w:rsid w:val="006132F1"/>
    <w:rsid w:val="00615AF7"/>
    <w:rsid w:val="006407C9"/>
    <w:rsid w:val="00655CA0"/>
    <w:rsid w:val="006652E9"/>
    <w:rsid w:val="00666D3A"/>
    <w:rsid w:val="00671F74"/>
    <w:rsid w:val="0067799B"/>
    <w:rsid w:val="006846C5"/>
    <w:rsid w:val="00691E08"/>
    <w:rsid w:val="00694E0D"/>
    <w:rsid w:val="006A1389"/>
    <w:rsid w:val="006D5A28"/>
    <w:rsid w:val="00701CDA"/>
    <w:rsid w:val="00722091"/>
    <w:rsid w:val="00722740"/>
    <w:rsid w:val="007228C0"/>
    <w:rsid w:val="007255B8"/>
    <w:rsid w:val="00734D8B"/>
    <w:rsid w:val="00742E1C"/>
    <w:rsid w:val="007A05EE"/>
    <w:rsid w:val="007C2AB5"/>
    <w:rsid w:val="007C63DA"/>
    <w:rsid w:val="007D6D5A"/>
    <w:rsid w:val="007F2133"/>
    <w:rsid w:val="00805969"/>
    <w:rsid w:val="00807FB5"/>
    <w:rsid w:val="00833FBE"/>
    <w:rsid w:val="00842B5E"/>
    <w:rsid w:val="00846DB9"/>
    <w:rsid w:val="0085566A"/>
    <w:rsid w:val="00871C6A"/>
    <w:rsid w:val="00873B4A"/>
    <w:rsid w:val="00874A96"/>
    <w:rsid w:val="0088037B"/>
    <w:rsid w:val="0088419F"/>
    <w:rsid w:val="008A4EAC"/>
    <w:rsid w:val="008D0570"/>
    <w:rsid w:val="008D6777"/>
    <w:rsid w:val="008E07B1"/>
    <w:rsid w:val="008E1ADB"/>
    <w:rsid w:val="008E7801"/>
    <w:rsid w:val="008F178C"/>
    <w:rsid w:val="00910059"/>
    <w:rsid w:val="00921CBC"/>
    <w:rsid w:val="009462EE"/>
    <w:rsid w:val="009462FD"/>
    <w:rsid w:val="00963456"/>
    <w:rsid w:val="0097610D"/>
    <w:rsid w:val="009843D5"/>
    <w:rsid w:val="00986F74"/>
    <w:rsid w:val="00987E40"/>
    <w:rsid w:val="009C728B"/>
    <w:rsid w:val="009C7693"/>
    <w:rsid w:val="009D5236"/>
    <w:rsid w:val="009E087D"/>
    <w:rsid w:val="00A02903"/>
    <w:rsid w:val="00A03FE6"/>
    <w:rsid w:val="00A33FE7"/>
    <w:rsid w:val="00A36DCC"/>
    <w:rsid w:val="00A62051"/>
    <w:rsid w:val="00A7351A"/>
    <w:rsid w:val="00AA220D"/>
    <w:rsid w:val="00AC0FAB"/>
    <w:rsid w:val="00AC28C7"/>
    <w:rsid w:val="00AD3B80"/>
    <w:rsid w:val="00AD6D26"/>
    <w:rsid w:val="00AD77A1"/>
    <w:rsid w:val="00AE2F5D"/>
    <w:rsid w:val="00AF3666"/>
    <w:rsid w:val="00AF50AF"/>
    <w:rsid w:val="00B23F03"/>
    <w:rsid w:val="00B27C51"/>
    <w:rsid w:val="00B307D3"/>
    <w:rsid w:val="00B42314"/>
    <w:rsid w:val="00B52817"/>
    <w:rsid w:val="00B52A5F"/>
    <w:rsid w:val="00BA4CEC"/>
    <w:rsid w:val="00BB16D5"/>
    <w:rsid w:val="00BC52B6"/>
    <w:rsid w:val="00BE075B"/>
    <w:rsid w:val="00BE69DA"/>
    <w:rsid w:val="00BF74FE"/>
    <w:rsid w:val="00C02A6D"/>
    <w:rsid w:val="00C1229B"/>
    <w:rsid w:val="00C51370"/>
    <w:rsid w:val="00C623C1"/>
    <w:rsid w:val="00C67821"/>
    <w:rsid w:val="00C70A48"/>
    <w:rsid w:val="00C72754"/>
    <w:rsid w:val="00C740A1"/>
    <w:rsid w:val="00C765A4"/>
    <w:rsid w:val="00CB1BD8"/>
    <w:rsid w:val="00CB2D16"/>
    <w:rsid w:val="00CB3F9C"/>
    <w:rsid w:val="00CC486A"/>
    <w:rsid w:val="00CD3005"/>
    <w:rsid w:val="00D163F7"/>
    <w:rsid w:val="00D20573"/>
    <w:rsid w:val="00D21F41"/>
    <w:rsid w:val="00D55F2B"/>
    <w:rsid w:val="00D6623F"/>
    <w:rsid w:val="00D676CB"/>
    <w:rsid w:val="00D87260"/>
    <w:rsid w:val="00D91F8A"/>
    <w:rsid w:val="00D95B93"/>
    <w:rsid w:val="00DA1103"/>
    <w:rsid w:val="00DC2975"/>
    <w:rsid w:val="00E27BEE"/>
    <w:rsid w:val="00E31297"/>
    <w:rsid w:val="00E36677"/>
    <w:rsid w:val="00E46024"/>
    <w:rsid w:val="00E50BFF"/>
    <w:rsid w:val="00E55957"/>
    <w:rsid w:val="00E63744"/>
    <w:rsid w:val="00E70811"/>
    <w:rsid w:val="00E72D62"/>
    <w:rsid w:val="00E85796"/>
    <w:rsid w:val="00E9035C"/>
    <w:rsid w:val="00E911BB"/>
    <w:rsid w:val="00EB50F8"/>
    <w:rsid w:val="00EB732D"/>
    <w:rsid w:val="00EF500A"/>
    <w:rsid w:val="00EF5631"/>
    <w:rsid w:val="00F04811"/>
    <w:rsid w:val="00F3188D"/>
    <w:rsid w:val="00F5374D"/>
    <w:rsid w:val="00F55AF9"/>
    <w:rsid w:val="00F763B9"/>
    <w:rsid w:val="00F81EA1"/>
    <w:rsid w:val="00F8647E"/>
    <w:rsid w:val="00FA59DD"/>
    <w:rsid w:val="00FB27E3"/>
    <w:rsid w:val="00FB38DF"/>
    <w:rsid w:val="00FD52AF"/>
    <w:rsid w:val="00FD556F"/>
    <w:rsid w:val="00FD7827"/>
    <w:rsid w:val="00FF055D"/>
    <w:rsid w:val="00FF23D4"/>
    <w:rsid w:val="00FF48A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53D78"/>
    <w:pPr>
      <w:spacing w:after="200" w:line="276"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AC0FAB"/>
    <w:pPr>
      <w:tabs>
        <w:tab w:val="center" w:pos="4536"/>
        <w:tab w:val="right" w:pos="9072"/>
      </w:tabs>
      <w:spacing w:after="160" w:line="259" w:lineRule="auto"/>
    </w:pPr>
  </w:style>
  <w:style w:type="character" w:customStyle="1" w:styleId="HlavikaChar">
    <w:name w:val="Hlavička Char"/>
    <w:link w:val="Hlavika"/>
    <w:uiPriority w:val="99"/>
    <w:locked/>
    <w:rsid w:val="00AC0FAB"/>
    <w:rPr>
      <w:rFonts w:ascii="Calibri" w:hAnsi="Calibri" w:cs="Times New Roman"/>
    </w:rPr>
  </w:style>
  <w:style w:type="paragraph" w:styleId="Odsekzoznamu">
    <w:name w:val="List Paragraph"/>
    <w:basedOn w:val="Normlny"/>
    <w:uiPriority w:val="34"/>
    <w:qFormat/>
    <w:rsid w:val="00114CCC"/>
    <w:pPr>
      <w:ind w:left="720"/>
      <w:contextualSpacing/>
    </w:pPr>
  </w:style>
  <w:style w:type="paragraph" w:customStyle="1" w:styleId="Default">
    <w:name w:val="Default"/>
    <w:rsid w:val="00CB1BD8"/>
    <w:pPr>
      <w:autoSpaceDE w:val="0"/>
      <w:autoSpaceDN w:val="0"/>
      <w:adjustRightInd w:val="0"/>
    </w:pPr>
    <w:rPr>
      <w:rFonts w:ascii="Times New Roman" w:hAnsi="Times New Roman" w:cs="Times New Roman"/>
      <w:color w:val="000000"/>
      <w:sz w:val="24"/>
      <w:szCs w:val="24"/>
      <w:lang w:eastAsia="en-US"/>
    </w:rPr>
  </w:style>
  <w:style w:type="table" w:styleId="Mriekatabuky">
    <w:name w:val="Table Grid"/>
    <w:basedOn w:val="Normlnatabuka"/>
    <w:uiPriority w:val="59"/>
    <w:rsid w:val="00A6205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D20573"/>
    <w:rPr>
      <w:rFonts w:cs="Times New Roman"/>
      <w:sz w:val="16"/>
    </w:rPr>
  </w:style>
  <w:style w:type="paragraph" w:styleId="Textkomentra">
    <w:name w:val="annotation text"/>
    <w:basedOn w:val="Normlny"/>
    <w:link w:val="TextkomentraChar"/>
    <w:uiPriority w:val="99"/>
    <w:semiHidden/>
    <w:unhideWhenUsed/>
    <w:rsid w:val="00D20573"/>
    <w:pPr>
      <w:spacing w:line="240" w:lineRule="auto"/>
    </w:pPr>
    <w:rPr>
      <w:sz w:val="20"/>
      <w:szCs w:val="20"/>
    </w:rPr>
  </w:style>
  <w:style w:type="character" w:customStyle="1" w:styleId="TextkomentraChar">
    <w:name w:val="Text komentára Char"/>
    <w:link w:val="Textkomentra"/>
    <w:uiPriority w:val="99"/>
    <w:semiHidden/>
    <w:locked/>
    <w:rsid w:val="00D20573"/>
    <w:rPr>
      <w:rFonts w:cs="Times New Roman"/>
      <w:sz w:val="20"/>
    </w:rPr>
  </w:style>
  <w:style w:type="paragraph" w:styleId="Predmetkomentra">
    <w:name w:val="annotation subject"/>
    <w:basedOn w:val="Textkomentra"/>
    <w:next w:val="Textkomentra"/>
    <w:link w:val="PredmetkomentraChar"/>
    <w:uiPriority w:val="99"/>
    <w:semiHidden/>
    <w:unhideWhenUsed/>
    <w:rsid w:val="00D20573"/>
    <w:rPr>
      <w:b/>
      <w:bCs/>
    </w:rPr>
  </w:style>
  <w:style w:type="character" w:customStyle="1" w:styleId="PredmetkomentraChar">
    <w:name w:val="Predmet komentára Char"/>
    <w:link w:val="Predmetkomentra"/>
    <w:uiPriority w:val="99"/>
    <w:semiHidden/>
    <w:locked/>
    <w:rsid w:val="00D20573"/>
    <w:rPr>
      <w:rFonts w:cs="Times New Roman"/>
      <w:b/>
      <w:sz w:val="20"/>
    </w:rPr>
  </w:style>
  <w:style w:type="paragraph" w:styleId="Textbubliny">
    <w:name w:val="Balloon Text"/>
    <w:basedOn w:val="Normlny"/>
    <w:link w:val="TextbublinyChar"/>
    <w:uiPriority w:val="99"/>
    <w:semiHidden/>
    <w:unhideWhenUsed/>
    <w:rsid w:val="00D20573"/>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D20573"/>
    <w:rPr>
      <w:rFonts w:ascii="Tahoma" w:hAnsi="Tahoma" w:cs="Times New Roman"/>
      <w:sz w:val="16"/>
    </w:rPr>
  </w:style>
  <w:style w:type="paragraph" w:styleId="Pta">
    <w:name w:val="footer"/>
    <w:basedOn w:val="Normlny"/>
    <w:link w:val="PtaChar"/>
    <w:uiPriority w:val="99"/>
    <w:unhideWhenUsed/>
    <w:rsid w:val="001C146B"/>
    <w:pPr>
      <w:tabs>
        <w:tab w:val="center" w:pos="4536"/>
        <w:tab w:val="right" w:pos="9072"/>
      </w:tabs>
    </w:pPr>
  </w:style>
  <w:style w:type="character" w:customStyle="1" w:styleId="PtaChar">
    <w:name w:val="Päta Char"/>
    <w:link w:val="Pta"/>
    <w:uiPriority w:val="99"/>
    <w:locked/>
    <w:rsid w:val="001C146B"/>
    <w:rPr>
      <w:rFonts w:cs="Times New Roman"/>
      <w:sz w:val="22"/>
      <w:lang w:val="x-none" w:eastAsia="en-US"/>
    </w:rPr>
  </w:style>
  <w:style w:type="paragraph" w:styleId="Textpoznmkypodiarou">
    <w:name w:val="footnote text"/>
    <w:basedOn w:val="Normlny"/>
    <w:link w:val="TextpoznmkypodiarouChar"/>
    <w:uiPriority w:val="99"/>
    <w:semiHidden/>
    <w:unhideWhenUsed/>
    <w:rsid w:val="001A73F5"/>
    <w:rPr>
      <w:sz w:val="20"/>
      <w:szCs w:val="20"/>
    </w:rPr>
  </w:style>
  <w:style w:type="character" w:customStyle="1" w:styleId="TextpoznmkypodiarouChar">
    <w:name w:val="Text poznámky pod čiarou Char"/>
    <w:link w:val="Textpoznmkypodiarou"/>
    <w:uiPriority w:val="99"/>
    <w:semiHidden/>
    <w:locked/>
    <w:rsid w:val="001A73F5"/>
    <w:rPr>
      <w:rFonts w:cs="Times New Roman"/>
      <w:lang w:val="x-none" w:eastAsia="en-US"/>
    </w:rPr>
  </w:style>
  <w:style w:type="character" w:styleId="Odkaznapoznmkupodiarou">
    <w:name w:val="footnote reference"/>
    <w:uiPriority w:val="99"/>
    <w:semiHidden/>
    <w:unhideWhenUsed/>
    <w:rsid w:val="001A73F5"/>
    <w:rPr>
      <w:rFonts w:cs="Times New Roman"/>
      <w:vertAlign w:val="superscript"/>
    </w:rPr>
  </w:style>
  <w:style w:type="paragraph" w:styleId="Revzia">
    <w:name w:val="Revision"/>
    <w:hidden/>
    <w:uiPriority w:val="99"/>
    <w:semiHidden/>
    <w:rsid w:val="000F7886"/>
    <w:rPr>
      <w:rFonts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53D78"/>
    <w:pPr>
      <w:spacing w:after="200" w:line="276"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AC0FAB"/>
    <w:pPr>
      <w:tabs>
        <w:tab w:val="center" w:pos="4536"/>
        <w:tab w:val="right" w:pos="9072"/>
      </w:tabs>
      <w:spacing w:after="160" w:line="259" w:lineRule="auto"/>
    </w:pPr>
  </w:style>
  <w:style w:type="character" w:customStyle="1" w:styleId="HlavikaChar">
    <w:name w:val="Hlavička Char"/>
    <w:link w:val="Hlavika"/>
    <w:uiPriority w:val="99"/>
    <w:locked/>
    <w:rsid w:val="00AC0FAB"/>
    <w:rPr>
      <w:rFonts w:ascii="Calibri" w:hAnsi="Calibri" w:cs="Times New Roman"/>
    </w:rPr>
  </w:style>
  <w:style w:type="paragraph" w:styleId="Odsekzoznamu">
    <w:name w:val="List Paragraph"/>
    <w:basedOn w:val="Normlny"/>
    <w:uiPriority w:val="34"/>
    <w:qFormat/>
    <w:rsid w:val="00114CCC"/>
    <w:pPr>
      <w:ind w:left="720"/>
      <w:contextualSpacing/>
    </w:pPr>
  </w:style>
  <w:style w:type="paragraph" w:customStyle="1" w:styleId="Default">
    <w:name w:val="Default"/>
    <w:rsid w:val="00CB1BD8"/>
    <w:pPr>
      <w:autoSpaceDE w:val="0"/>
      <w:autoSpaceDN w:val="0"/>
      <w:adjustRightInd w:val="0"/>
    </w:pPr>
    <w:rPr>
      <w:rFonts w:ascii="Times New Roman" w:hAnsi="Times New Roman" w:cs="Times New Roman"/>
      <w:color w:val="000000"/>
      <w:sz w:val="24"/>
      <w:szCs w:val="24"/>
      <w:lang w:eastAsia="en-US"/>
    </w:rPr>
  </w:style>
  <w:style w:type="table" w:styleId="Mriekatabuky">
    <w:name w:val="Table Grid"/>
    <w:basedOn w:val="Normlnatabuka"/>
    <w:uiPriority w:val="59"/>
    <w:rsid w:val="00A6205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D20573"/>
    <w:rPr>
      <w:rFonts w:cs="Times New Roman"/>
      <w:sz w:val="16"/>
    </w:rPr>
  </w:style>
  <w:style w:type="paragraph" w:styleId="Textkomentra">
    <w:name w:val="annotation text"/>
    <w:basedOn w:val="Normlny"/>
    <w:link w:val="TextkomentraChar"/>
    <w:uiPriority w:val="99"/>
    <w:semiHidden/>
    <w:unhideWhenUsed/>
    <w:rsid w:val="00D20573"/>
    <w:pPr>
      <w:spacing w:line="240" w:lineRule="auto"/>
    </w:pPr>
    <w:rPr>
      <w:sz w:val="20"/>
      <w:szCs w:val="20"/>
    </w:rPr>
  </w:style>
  <w:style w:type="character" w:customStyle="1" w:styleId="TextkomentraChar">
    <w:name w:val="Text komentára Char"/>
    <w:link w:val="Textkomentra"/>
    <w:uiPriority w:val="99"/>
    <w:semiHidden/>
    <w:locked/>
    <w:rsid w:val="00D20573"/>
    <w:rPr>
      <w:rFonts w:cs="Times New Roman"/>
      <w:sz w:val="20"/>
    </w:rPr>
  </w:style>
  <w:style w:type="paragraph" w:styleId="Predmetkomentra">
    <w:name w:val="annotation subject"/>
    <w:basedOn w:val="Textkomentra"/>
    <w:next w:val="Textkomentra"/>
    <w:link w:val="PredmetkomentraChar"/>
    <w:uiPriority w:val="99"/>
    <w:semiHidden/>
    <w:unhideWhenUsed/>
    <w:rsid w:val="00D20573"/>
    <w:rPr>
      <w:b/>
      <w:bCs/>
    </w:rPr>
  </w:style>
  <w:style w:type="character" w:customStyle="1" w:styleId="PredmetkomentraChar">
    <w:name w:val="Predmet komentára Char"/>
    <w:link w:val="Predmetkomentra"/>
    <w:uiPriority w:val="99"/>
    <w:semiHidden/>
    <w:locked/>
    <w:rsid w:val="00D20573"/>
    <w:rPr>
      <w:rFonts w:cs="Times New Roman"/>
      <w:b/>
      <w:sz w:val="20"/>
    </w:rPr>
  </w:style>
  <w:style w:type="paragraph" w:styleId="Textbubliny">
    <w:name w:val="Balloon Text"/>
    <w:basedOn w:val="Normlny"/>
    <w:link w:val="TextbublinyChar"/>
    <w:uiPriority w:val="99"/>
    <w:semiHidden/>
    <w:unhideWhenUsed/>
    <w:rsid w:val="00D20573"/>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D20573"/>
    <w:rPr>
      <w:rFonts w:ascii="Tahoma" w:hAnsi="Tahoma" w:cs="Times New Roman"/>
      <w:sz w:val="16"/>
    </w:rPr>
  </w:style>
  <w:style w:type="paragraph" w:styleId="Pta">
    <w:name w:val="footer"/>
    <w:basedOn w:val="Normlny"/>
    <w:link w:val="PtaChar"/>
    <w:uiPriority w:val="99"/>
    <w:unhideWhenUsed/>
    <w:rsid w:val="001C146B"/>
    <w:pPr>
      <w:tabs>
        <w:tab w:val="center" w:pos="4536"/>
        <w:tab w:val="right" w:pos="9072"/>
      </w:tabs>
    </w:pPr>
  </w:style>
  <w:style w:type="character" w:customStyle="1" w:styleId="PtaChar">
    <w:name w:val="Päta Char"/>
    <w:link w:val="Pta"/>
    <w:uiPriority w:val="99"/>
    <w:locked/>
    <w:rsid w:val="001C146B"/>
    <w:rPr>
      <w:rFonts w:cs="Times New Roman"/>
      <w:sz w:val="22"/>
      <w:lang w:val="x-none" w:eastAsia="en-US"/>
    </w:rPr>
  </w:style>
  <w:style w:type="paragraph" w:styleId="Textpoznmkypodiarou">
    <w:name w:val="footnote text"/>
    <w:basedOn w:val="Normlny"/>
    <w:link w:val="TextpoznmkypodiarouChar"/>
    <w:uiPriority w:val="99"/>
    <w:semiHidden/>
    <w:unhideWhenUsed/>
    <w:rsid w:val="001A73F5"/>
    <w:rPr>
      <w:sz w:val="20"/>
      <w:szCs w:val="20"/>
    </w:rPr>
  </w:style>
  <w:style w:type="character" w:customStyle="1" w:styleId="TextpoznmkypodiarouChar">
    <w:name w:val="Text poznámky pod čiarou Char"/>
    <w:link w:val="Textpoznmkypodiarou"/>
    <w:uiPriority w:val="99"/>
    <w:semiHidden/>
    <w:locked/>
    <w:rsid w:val="001A73F5"/>
    <w:rPr>
      <w:rFonts w:cs="Times New Roman"/>
      <w:lang w:val="x-none" w:eastAsia="en-US"/>
    </w:rPr>
  </w:style>
  <w:style w:type="character" w:styleId="Odkaznapoznmkupodiarou">
    <w:name w:val="footnote reference"/>
    <w:uiPriority w:val="99"/>
    <w:semiHidden/>
    <w:unhideWhenUsed/>
    <w:rsid w:val="001A73F5"/>
    <w:rPr>
      <w:rFonts w:cs="Times New Roman"/>
      <w:vertAlign w:val="superscript"/>
    </w:rPr>
  </w:style>
  <w:style w:type="paragraph" w:styleId="Revzia">
    <w:name w:val="Revision"/>
    <w:hidden/>
    <w:uiPriority w:val="99"/>
    <w:semiHidden/>
    <w:rsid w:val="000F7886"/>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266630">
      <w:marLeft w:val="0"/>
      <w:marRight w:val="0"/>
      <w:marTop w:val="0"/>
      <w:marBottom w:val="0"/>
      <w:divBdr>
        <w:top w:val="none" w:sz="0" w:space="0" w:color="auto"/>
        <w:left w:val="none" w:sz="0" w:space="0" w:color="auto"/>
        <w:bottom w:val="none" w:sz="0" w:space="0" w:color="auto"/>
        <w:right w:val="none" w:sz="0" w:space="0" w:color="auto"/>
      </w:divBdr>
    </w:div>
    <w:div w:id="766266631">
      <w:marLeft w:val="0"/>
      <w:marRight w:val="0"/>
      <w:marTop w:val="0"/>
      <w:marBottom w:val="0"/>
      <w:divBdr>
        <w:top w:val="none" w:sz="0" w:space="0" w:color="auto"/>
        <w:left w:val="none" w:sz="0" w:space="0" w:color="auto"/>
        <w:bottom w:val="none" w:sz="0" w:space="0" w:color="auto"/>
        <w:right w:val="none" w:sz="0" w:space="0" w:color="auto"/>
      </w:divBdr>
    </w:div>
    <w:div w:id="766266632">
      <w:marLeft w:val="0"/>
      <w:marRight w:val="0"/>
      <w:marTop w:val="0"/>
      <w:marBottom w:val="0"/>
      <w:divBdr>
        <w:top w:val="none" w:sz="0" w:space="0" w:color="auto"/>
        <w:left w:val="none" w:sz="0" w:space="0" w:color="auto"/>
        <w:bottom w:val="none" w:sz="0" w:space="0" w:color="auto"/>
        <w:right w:val="none" w:sz="0" w:space="0" w:color="auto"/>
      </w:divBdr>
    </w:div>
    <w:div w:id="766266633">
      <w:marLeft w:val="0"/>
      <w:marRight w:val="0"/>
      <w:marTop w:val="0"/>
      <w:marBottom w:val="0"/>
      <w:divBdr>
        <w:top w:val="none" w:sz="0" w:space="0" w:color="auto"/>
        <w:left w:val="none" w:sz="0" w:space="0" w:color="auto"/>
        <w:bottom w:val="none" w:sz="0" w:space="0" w:color="auto"/>
        <w:right w:val="none" w:sz="0" w:space="0" w:color="auto"/>
      </w:divBdr>
    </w:div>
    <w:div w:id="766266634">
      <w:marLeft w:val="0"/>
      <w:marRight w:val="0"/>
      <w:marTop w:val="0"/>
      <w:marBottom w:val="0"/>
      <w:divBdr>
        <w:top w:val="none" w:sz="0" w:space="0" w:color="auto"/>
        <w:left w:val="none" w:sz="0" w:space="0" w:color="auto"/>
        <w:bottom w:val="none" w:sz="0" w:space="0" w:color="auto"/>
        <w:right w:val="none" w:sz="0" w:space="0" w:color="auto"/>
      </w:divBdr>
    </w:div>
    <w:div w:id="766266635">
      <w:marLeft w:val="0"/>
      <w:marRight w:val="0"/>
      <w:marTop w:val="0"/>
      <w:marBottom w:val="0"/>
      <w:divBdr>
        <w:top w:val="none" w:sz="0" w:space="0" w:color="auto"/>
        <w:left w:val="none" w:sz="0" w:space="0" w:color="auto"/>
        <w:bottom w:val="none" w:sz="0" w:space="0" w:color="auto"/>
        <w:right w:val="none" w:sz="0" w:space="0" w:color="auto"/>
      </w:divBdr>
    </w:div>
    <w:div w:id="766266636">
      <w:marLeft w:val="0"/>
      <w:marRight w:val="0"/>
      <w:marTop w:val="0"/>
      <w:marBottom w:val="0"/>
      <w:divBdr>
        <w:top w:val="none" w:sz="0" w:space="0" w:color="auto"/>
        <w:left w:val="none" w:sz="0" w:space="0" w:color="auto"/>
        <w:bottom w:val="none" w:sz="0" w:space="0" w:color="auto"/>
        <w:right w:val="none" w:sz="0" w:space="0" w:color="auto"/>
      </w:divBdr>
    </w:div>
    <w:div w:id="766266637">
      <w:marLeft w:val="0"/>
      <w:marRight w:val="0"/>
      <w:marTop w:val="0"/>
      <w:marBottom w:val="0"/>
      <w:divBdr>
        <w:top w:val="none" w:sz="0" w:space="0" w:color="auto"/>
        <w:left w:val="none" w:sz="0" w:space="0" w:color="auto"/>
        <w:bottom w:val="none" w:sz="0" w:space="0" w:color="auto"/>
        <w:right w:val="none" w:sz="0" w:space="0" w:color="auto"/>
      </w:divBdr>
    </w:div>
    <w:div w:id="766266638">
      <w:marLeft w:val="0"/>
      <w:marRight w:val="0"/>
      <w:marTop w:val="0"/>
      <w:marBottom w:val="0"/>
      <w:divBdr>
        <w:top w:val="none" w:sz="0" w:space="0" w:color="auto"/>
        <w:left w:val="none" w:sz="0" w:space="0" w:color="auto"/>
        <w:bottom w:val="none" w:sz="0" w:space="0" w:color="auto"/>
        <w:right w:val="none" w:sz="0" w:space="0" w:color="auto"/>
      </w:divBdr>
    </w:div>
    <w:div w:id="766266639">
      <w:marLeft w:val="0"/>
      <w:marRight w:val="0"/>
      <w:marTop w:val="0"/>
      <w:marBottom w:val="0"/>
      <w:divBdr>
        <w:top w:val="none" w:sz="0" w:space="0" w:color="auto"/>
        <w:left w:val="none" w:sz="0" w:space="0" w:color="auto"/>
        <w:bottom w:val="none" w:sz="0" w:space="0" w:color="auto"/>
        <w:right w:val="none" w:sz="0" w:space="0" w:color="auto"/>
      </w:divBdr>
    </w:div>
    <w:div w:id="957419768">
      <w:bodyDiv w:val="1"/>
      <w:marLeft w:val="0"/>
      <w:marRight w:val="0"/>
      <w:marTop w:val="0"/>
      <w:marBottom w:val="0"/>
      <w:divBdr>
        <w:top w:val="none" w:sz="0" w:space="0" w:color="auto"/>
        <w:left w:val="none" w:sz="0" w:space="0" w:color="auto"/>
        <w:bottom w:val="none" w:sz="0" w:space="0" w:color="auto"/>
        <w:right w:val="none" w:sz="0" w:space="0" w:color="auto"/>
      </w:divBdr>
    </w:div>
    <w:div w:id="1393233353">
      <w:bodyDiv w:val="1"/>
      <w:marLeft w:val="0"/>
      <w:marRight w:val="0"/>
      <w:marTop w:val="0"/>
      <w:marBottom w:val="0"/>
      <w:divBdr>
        <w:top w:val="none" w:sz="0" w:space="0" w:color="auto"/>
        <w:left w:val="none" w:sz="0" w:space="0" w:color="auto"/>
        <w:bottom w:val="none" w:sz="0" w:space="0" w:color="auto"/>
        <w:right w:val="none" w:sz="0" w:space="0" w:color="auto"/>
      </w:divBdr>
    </w:div>
    <w:div w:id="1591037764">
      <w:bodyDiv w:val="1"/>
      <w:marLeft w:val="0"/>
      <w:marRight w:val="0"/>
      <w:marTop w:val="0"/>
      <w:marBottom w:val="0"/>
      <w:divBdr>
        <w:top w:val="none" w:sz="0" w:space="0" w:color="auto"/>
        <w:left w:val="none" w:sz="0" w:space="0" w:color="auto"/>
        <w:bottom w:val="none" w:sz="0" w:space="0" w:color="auto"/>
        <w:right w:val="none" w:sz="0" w:space="0" w:color="auto"/>
      </w:divBdr>
    </w:div>
    <w:div w:id="211682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91B06-DBA4-4550-BD16-4534BC286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521</Words>
  <Characters>3497</Characters>
  <Application>Microsoft Office Word</Application>
  <DocSecurity>0</DocSecurity>
  <Lines>29</Lines>
  <Paragraphs>8</Paragraphs>
  <ScaleCrop>false</ScaleCrop>
  <HeadingPairs>
    <vt:vector size="2" baseType="variant">
      <vt:variant>
        <vt:lpstr>Názov</vt:lpstr>
      </vt:variant>
      <vt:variant>
        <vt:i4>1</vt:i4>
      </vt:variant>
    </vt:vector>
  </HeadingPairs>
  <TitlesOfParts>
    <vt:vector size="1" baseType="lpstr">
      <vt:lpstr/>
    </vt:vector>
  </TitlesOfParts>
  <Company>MPSVR SR</Company>
  <LinksUpToDate>false</LinksUpToDate>
  <CharactersWithSpaces>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Predajnianska Beata</dc:creator>
  <cp:lastModifiedBy>Anna Magdolenová</cp:lastModifiedBy>
  <cp:revision>6</cp:revision>
  <cp:lastPrinted>2018-06-22T10:28:00Z</cp:lastPrinted>
  <dcterms:created xsi:type="dcterms:W3CDTF">2018-06-14T11:46:00Z</dcterms:created>
  <dcterms:modified xsi:type="dcterms:W3CDTF">2018-06-22T10:31:00Z</dcterms:modified>
</cp:coreProperties>
</file>